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spacing w:before="156" w:after="156" w:line="480" w:lineRule="auto"/>
        <w:jc w:val="center"/>
        <w:rPr>
          <w:rFonts w:hint="default" w:ascii="宋体" w:hAnsi="宋体" w:eastAsia="宋体"/>
          <w:b/>
          <w:sz w:val="48"/>
          <w:szCs w:val="48"/>
          <w:lang w:val="en-US" w:eastAsia="zh-CN"/>
        </w:rPr>
      </w:pPr>
      <w:bookmarkStart w:id="0" w:name="_Toc15804"/>
      <w:r>
        <w:rPr>
          <w:rFonts w:hint="eastAsia" w:ascii="宋体" w:hAnsi="宋体"/>
          <w:b/>
          <w:sz w:val="48"/>
          <w:szCs w:val="48"/>
        </w:rPr>
        <w:t>高粱冲光伏发电项目光伏场区</w:t>
      </w:r>
      <w:r>
        <w:rPr>
          <w:rFonts w:hint="eastAsia" w:ascii="宋体" w:hAnsi="宋体" w:eastAsia="宋体" w:cs="宋体"/>
          <w:b/>
          <w:bCs/>
          <w:sz w:val="48"/>
          <w:szCs w:val="48"/>
          <w:lang w:val="en-US" w:eastAsia="zh-CN"/>
        </w:rPr>
        <w:t>50MW光伏项目320KW</w:t>
      </w:r>
      <w:r>
        <w:rPr>
          <w:rFonts w:hint="eastAsia" w:ascii="宋体" w:hAnsi="宋体" w:eastAsia="宋体" w:cs="宋体"/>
          <w:b/>
          <w:bCs/>
          <w:sz w:val="48"/>
          <w:szCs w:val="48"/>
        </w:rPr>
        <w:t>组串式逆变器</w:t>
      </w:r>
      <w:r>
        <w:rPr>
          <w:rFonts w:hint="eastAsia" w:ascii="宋体" w:hAnsi="宋体"/>
          <w:b/>
          <w:sz w:val="48"/>
          <w:szCs w:val="48"/>
          <w:lang w:val="en-US" w:eastAsia="zh-CN"/>
        </w:rPr>
        <w:t>采购项目</w:t>
      </w:r>
    </w:p>
    <w:p w14:paraId="606B8D74">
      <w:pPr>
        <w:pStyle w:val="19"/>
        <w:ind w:firstLine="0"/>
        <w:rPr>
          <w:rFonts w:ascii="宋体" w:hAnsi="宋体"/>
          <w:b/>
          <w:sz w:val="52"/>
          <w:szCs w:val="52"/>
        </w:rPr>
      </w:pPr>
    </w:p>
    <w:p w14:paraId="65AB21F5">
      <w:pPr>
        <w:pStyle w:val="19"/>
        <w:ind w:firstLine="0"/>
        <w:jc w:val="center"/>
        <w:rPr>
          <w:rFonts w:ascii="宋体" w:hAnsi="宋体"/>
          <w:b/>
          <w:sz w:val="52"/>
          <w:szCs w:val="52"/>
        </w:rPr>
      </w:pPr>
    </w:p>
    <w:p w14:paraId="5429BB73">
      <w:pPr>
        <w:pStyle w:val="19"/>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19"/>
        <w:ind w:firstLine="0"/>
        <w:jc w:val="center"/>
        <w:rPr>
          <w:rFonts w:ascii="宋体" w:hAnsi="宋体"/>
        </w:rPr>
      </w:pPr>
    </w:p>
    <w:p w14:paraId="6621BFDE">
      <w:pPr>
        <w:pStyle w:val="19"/>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145030" cy="2108835"/>
                    </a:xfrm>
                    <a:prstGeom prst="rect">
                      <a:avLst/>
                    </a:prstGeom>
                    <a:noFill/>
                    <a:ln>
                      <a:noFill/>
                    </a:ln>
                  </pic:spPr>
                </pic:pic>
              </a:graphicData>
            </a:graphic>
          </wp:inline>
        </w:drawing>
      </w:r>
    </w:p>
    <w:p w14:paraId="4823A0E9">
      <w:pPr>
        <w:pStyle w:val="20"/>
        <w:ind w:firstLine="0"/>
        <w:rPr>
          <w:rFonts w:ascii="宋体" w:hAnsi="宋体"/>
          <w:sz w:val="18"/>
        </w:rPr>
      </w:pPr>
    </w:p>
    <w:p w14:paraId="08E1BDE0">
      <w:pPr>
        <w:pStyle w:val="20"/>
        <w:ind w:firstLine="0"/>
        <w:jc w:val="center"/>
        <w:rPr>
          <w:rFonts w:ascii="宋体" w:hAnsi="宋体"/>
          <w:sz w:val="18"/>
        </w:rPr>
      </w:pPr>
    </w:p>
    <w:p w14:paraId="7BE5FAC1">
      <w:pPr>
        <w:pStyle w:val="20"/>
        <w:ind w:firstLine="0"/>
        <w:jc w:val="center"/>
        <w:rPr>
          <w:rFonts w:ascii="宋体" w:hAnsi="宋体"/>
          <w:sz w:val="18"/>
        </w:rPr>
      </w:pPr>
    </w:p>
    <w:p w14:paraId="549F3A2F">
      <w:pPr>
        <w:pStyle w:val="20"/>
        <w:ind w:firstLine="0"/>
        <w:jc w:val="center"/>
        <w:rPr>
          <w:rFonts w:ascii="宋体" w:hAnsi="宋体"/>
          <w:sz w:val="18"/>
        </w:rPr>
      </w:pPr>
    </w:p>
    <w:p w14:paraId="6F42F20A">
      <w:pPr>
        <w:pStyle w:val="20"/>
        <w:ind w:firstLine="0"/>
        <w:jc w:val="center"/>
        <w:rPr>
          <w:rFonts w:ascii="宋体" w:hAnsi="宋体"/>
          <w:sz w:val="18"/>
        </w:rPr>
      </w:pPr>
    </w:p>
    <w:p w14:paraId="6F8895C8">
      <w:pPr>
        <w:pStyle w:val="20"/>
        <w:ind w:firstLine="0"/>
        <w:jc w:val="center"/>
        <w:rPr>
          <w:rFonts w:ascii="宋体" w:hAnsi="宋体"/>
          <w:sz w:val="18"/>
        </w:rPr>
      </w:pPr>
    </w:p>
    <w:p w14:paraId="26B69CD1">
      <w:pPr>
        <w:pStyle w:val="20"/>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2128369886"/>
          <w:lang w:eastAsia="zh-CN"/>
        </w:rPr>
        <w:t>采购</w:t>
      </w:r>
      <w:r>
        <w:rPr>
          <w:rFonts w:hint="eastAsia" w:ascii="宋体" w:hAnsi="宋体"/>
          <w:b/>
          <w:spacing w:val="1"/>
          <w:kern w:val="0"/>
          <w:sz w:val="30"/>
          <w:szCs w:val="30"/>
          <w:fitText w:val="1803" w:id="2128369886"/>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0"/>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val="en-US" w:eastAsia="zh-CN"/>
        </w:rPr>
        <w:t>八</w:t>
      </w:r>
      <w:r>
        <w:rPr>
          <w:rFonts w:hint="eastAsia" w:ascii="宋体" w:hAnsi="宋体"/>
          <w:b/>
          <w:sz w:val="28"/>
          <w:szCs w:val="28"/>
        </w:rPr>
        <w:t>月</w:t>
      </w:r>
    </w:p>
    <w:p w14:paraId="5054E0F7">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3DE67515">
      <w:pPr>
        <w:rPr>
          <w:rFonts w:hint="eastAsia" w:ascii="宋体" w:hAnsi="宋体" w:eastAsia="宋体" w:cs="宋体"/>
          <w:color w:val="auto"/>
          <w:highlight w:val="none"/>
        </w:rPr>
      </w:pPr>
    </w:p>
    <w:p w14:paraId="57D7DDB2">
      <w:pPr>
        <w:pStyle w:val="4"/>
        <w:rPr>
          <w:rFonts w:hint="eastAsia"/>
        </w:rPr>
      </w:pPr>
    </w:p>
    <w:p w14:paraId="107E209C">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16"/>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spacing w:before="156" w:after="156" w:line="480" w:lineRule="auto"/>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ascii="宋体" w:hAnsi="宋体" w:eastAsia="宋体" w:cs="宋体"/>
          <w:b w:val="0"/>
          <w:bCs w:val="0"/>
          <w:sz w:val="24"/>
          <w:szCs w:val="24"/>
          <w:u w:val="single"/>
          <w:lang w:val="en-US" w:eastAsia="zh-CN"/>
        </w:rPr>
        <w:t>50MW光伏项目320KW</w:t>
      </w:r>
      <w:r>
        <w:rPr>
          <w:rFonts w:hint="eastAsia" w:ascii="宋体" w:hAnsi="宋体" w:eastAsia="宋体" w:cs="宋体"/>
          <w:b w:val="0"/>
          <w:bCs w:val="0"/>
          <w:sz w:val="24"/>
          <w:szCs w:val="24"/>
          <w:u w:val="single"/>
        </w:rPr>
        <w:t>组串式逆变器</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ascii="宋体" w:hAnsi="宋体" w:eastAsia="宋体" w:cs="宋体"/>
          <w:b w:val="0"/>
          <w:bCs w:val="0"/>
          <w:sz w:val="24"/>
          <w:szCs w:val="24"/>
          <w:u w:val="single"/>
        </w:rPr>
        <w:t>组串式逆变器</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6"/>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16"/>
        <w:pageBreakBefore w:val="0"/>
        <w:numPr>
          <w:ilvl w:val="0"/>
          <w:numId w:val="3"/>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1"/>
        <w:tblW w:w="0" w:type="auto"/>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757"/>
        <w:gridCol w:w="1583"/>
        <w:gridCol w:w="870"/>
        <w:gridCol w:w="797"/>
        <w:gridCol w:w="1946"/>
        <w:gridCol w:w="1104"/>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385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66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14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组串式逆变器</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1"/>
                <w:szCs w:val="21"/>
                <w:u w:val="none"/>
                <w:lang w:val="en-US" w:eastAsia="zh-CN" w:bidi="ar"/>
              </w:rPr>
              <w:t>SG320HX-20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A4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09B">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Arial" w:hAnsi="Arial" w:eastAsia="宋体" w:cs="Arial"/>
                <w:i w:val="0"/>
                <w:iCs w:val="0"/>
                <w:color w:val="000000"/>
                <w:kern w:val="0"/>
                <w:sz w:val="21"/>
                <w:szCs w:val="21"/>
                <w:u w:val="none"/>
                <w:lang w:val="en-US" w:eastAsia="zh-CN" w:bidi="ar"/>
              </w:rPr>
              <w:t>149</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EC7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33381.00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AFA9">
            <w:pPr>
              <w:jc w:val="center"/>
              <w:rPr>
                <w:rFonts w:hint="eastAsia" w:ascii="宋体" w:hAnsi="宋体" w:eastAsia="宋体" w:cs="宋体"/>
                <w:i w:val="0"/>
                <w:iCs w:val="0"/>
                <w:color w:val="000000"/>
                <w:sz w:val="24"/>
                <w:szCs w:val="24"/>
                <w:u w:val="none"/>
              </w:rPr>
            </w:pPr>
          </w:p>
        </w:tc>
      </w:tr>
      <w:tr w14:paraId="291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CE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A80">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组串式逆变器</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1"/>
                <w:szCs w:val="21"/>
                <w:u w:val="none"/>
                <w:lang w:val="en-US" w:eastAsia="zh-CN" w:bidi="ar"/>
              </w:rPr>
              <w:t>SG320HX-20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A1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067">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Arial" w:hAnsi="Arial" w:eastAsia="宋体" w:cs="Arial"/>
                <w:i w:val="0"/>
                <w:iCs w:val="0"/>
                <w:color w:val="000000"/>
                <w:kern w:val="0"/>
                <w:sz w:val="21"/>
                <w:szCs w:val="21"/>
                <w:u w:val="none"/>
                <w:lang w:val="en-US" w:eastAsia="zh-CN" w:bidi="ar"/>
              </w:rPr>
              <w:t>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C1D">
            <w:pPr>
              <w:jc w:val="center"/>
              <w:rPr>
                <w:rFonts w:hint="eastAsia" w:ascii="宋体" w:hAnsi="宋体" w:cs="宋体"/>
                <w:i w:val="0"/>
                <w:iCs w:val="0"/>
                <w:color w:val="000000"/>
                <w:sz w:val="24"/>
                <w:szCs w:val="24"/>
                <w:u w:val="none"/>
                <w:lang w:val="en-US" w:eastAsia="zh-CN"/>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21">
            <w:pPr>
              <w:jc w:val="center"/>
              <w:rPr>
                <w:rFonts w:hint="eastAsia" w:ascii="宋体" w:hAnsi="宋体" w:eastAsia="宋体" w:cs="宋体"/>
                <w:i w:val="0"/>
                <w:iCs w:val="0"/>
                <w:color w:val="000000"/>
                <w:sz w:val="24"/>
                <w:szCs w:val="24"/>
                <w:u w:val="none"/>
              </w:rPr>
            </w:pPr>
          </w:p>
        </w:tc>
      </w:tr>
      <w:tr w14:paraId="3765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89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61F">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通讯箱（能量管理单元）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1"/>
                <w:szCs w:val="21"/>
                <w:u w:val="none"/>
                <w:lang w:val="en-US" w:eastAsia="zh-CN" w:bidi="ar"/>
              </w:rPr>
              <w:t>EMU200A</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EC31">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B382">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Arial" w:hAnsi="Arial" w:eastAsia="宋体" w:cs="Arial"/>
                <w:i w:val="0"/>
                <w:iCs w:val="0"/>
                <w:color w:val="000000"/>
                <w:kern w:val="0"/>
                <w:sz w:val="21"/>
                <w:szCs w:val="21"/>
                <w:u w:val="none"/>
                <w:lang w:val="en-US" w:eastAsia="zh-CN" w:bidi="ar"/>
              </w:rPr>
              <w:t>17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8FA">
            <w:pPr>
              <w:jc w:val="center"/>
              <w:rPr>
                <w:rFonts w:hint="eastAsia" w:ascii="宋体" w:hAnsi="宋体" w:cs="宋体"/>
                <w:i w:val="0"/>
                <w:iCs w:val="0"/>
                <w:color w:val="000000"/>
                <w:sz w:val="24"/>
                <w:szCs w:val="24"/>
                <w:u w:val="none"/>
                <w:lang w:val="en-US" w:eastAsia="zh-CN"/>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E87D">
            <w:pPr>
              <w:jc w:val="center"/>
              <w:rPr>
                <w:rFonts w:hint="eastAsia" w:ascii="宋体" w:hAnsi="宋体" w:eastAsia="宋体" w:cs="宋体"/>
                <w:i w:val="0"/>
                <w:iCs w:val="0"/>
                <w:color w:val="000000"/>
                <w:sz w:val="24"/>
                <w:szCs w:val="24"/>
                <w:u w:val="none"/>
              </w:rPr>
            </w:pPr>
          </w:p>
        </w:tc>
      </w:tr>
    </w:tbl>
    <w:p w14:paraId="1B5B7402">
      <w:pPr>
        <w:pStyle w:val="16"/>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16"/>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3"/>
          <w:rFonts w:hint="eastAsia" w:ascii="宋体" w:hAnsi="宋体" w:eastAsia="宋体" w:cs="宋体"/>
          <w:color w:val="auto"/>
          <w:kern w:val="0"/>
          <w:sz w:val="24"/>
          <w:highlight w:val="none"/>
        </w:rPr>
        <w:t>www.creditchina.gov.cn）系统查询截图）</w:t>
      </w:r>
      <w:r>
        <w:rPr>
          <w:rStyle w:val="13"/>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7C5DA177">
      <w:pPr>
        <w:pStyle w:val="16"/>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5.1收到询比价邀请函并书面确认回复愿意参加本项目报价的单位应按相应规定进行下载询比价文件（否则报价文件不予接受），报名询比价文件下载时间：2025年0</w:t>
      </w:r>
      <w:r>
        <w:rPr>
          <w:rFonts w:hint="eastAsia"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 xml:space="preserve">月 </w:t>
      </w:r>
      <w:r>
        <w:rPr>
          <w:rFonts w:hint="eastAsia" w:cs="宋体"/>
          <w:color w:val="auto"/>
          <w:kern w:val="2"/>
          <w:sz w:val="24"/>
          <w:szCs w:val="24"/>
          <w:highlight w:val="none"/>
          <w:lang w:val="en-US" w:eastAsia="zh-CN" w:bidi="ar-SA"/>
        </w:rPr>
        <w:t>04</w:t>
      </w:r>
      <w:r>
        <w:rPr>
          <w:rFonts w:hint="eastAsia" w:ascii="宋体" w:hAnsi="宋体" w:eastAsia="宋体" w:cs="宋体"/>
          <w:color w:val="auto"/>
          <w:kern w:val="2"/>
          <w:sz w:val="24"/>
          <w:szCs w:val="24"/>
          <w:highlight w:val="none"/>
          <w:lang w:val="en-US" w:eastAsia="zh-CN" w:bidi="ar-SA"/>
        </w:rPr>
        <w:t>日起至2025年0</w:t>
      </w:r>
      <w:r>
        <w:rPr>
          <w:rFonts w:hint="eastAsia"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ascii="宋体" w:hAnsi="宋体"/>
          <w:bCs/>
          <w:sz w:val="24"/>
          <w:szCs w:val="24"/>
          <w:highlight w:val="none"/>
          <w:u w:val="single"/>
        </w:rPr>
        <w:t>0</w:t>
      </w:r>
      <w:r>
        <w:rPr>
          <w:rFonts w:hint="eastAsia" w:ascii="宋体" w:hAnsi="宋体"/>
          <w:bCs/>
          <w:sz w:val="24"/>
          <w:szCs w:val="24"/>
          <w:highlight w:val="none"/>
          <w:u w:val="single"/>
          <w:lang w:val="en-US" w:eastAsia="zh-CN"/>
        </w:rPr>
        <w:t>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13</w:t>
      </w:r>
      <w:r>
        <w:rPr>
          <w:rFonts w:hint="eastAsia" w:ascii="宋体" w:hAnsi="宋体"/>
          <w:bCs/>
          <w:sz w:val="24"/>
          <w:szCs w:val="24"/>
          <w:highlight w:val="none"/>
        </w:rPr>
        <w:t>日</w:t>
      </w:r>
      <w:r>
        <w:rPr>
          <w:rFonts w:hint="eastAsia" w:ascii="宋体" w:hAnsi="宋体"/>
          <w:bCs/>
          <w:sz w:val="24"/>
          <w:szCs w:val="24"/>
          <w:highlight w:val="none"/>
          <w:lang w:eastAsia="zh-CN"/>
        </w:rPr>
        <w:t>下</w:t>
      </w:r>
      <w:r>
        <w:rPr>
          <w:rFonts w:hint="eastAsia" w:ascii="宋体" w:hAnsi="宋体"/>
          <w:bCs/>
          <w:sz w:val="24"/>
          <w:szCs w:val="24"/>
          <w:highlight w:val="none"/>
        </w:rPr>
        <w:t>午</w:t>
      </w:r>
      <w:r>
        <w:rPr>
          <w:rFonts w:hint="eastAsia" w:ascii="宋体" w:hAnsi="宋体"/>
          <w:bCs/>
          <w:sz w:val="24"/>
          <w:szCs w:val="24"/>
          <w:highlight w:val="none"/>
          <w:lang w:val="en-US" w:eastAsia="zh-CN"/>
        </w:rPr>
        <w:t>15</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或以邮件发送至</w:t>
      </w:r>
      <w:r>
        <w:rPr>
          <w:rStyle w:val="15"/>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1820888</w:t>
      </w:r>
      <w:bookmarkStart w:id="62" w:name="_GoBack"/>
      <w:bookmarkEnd w:id="62"/>
      <w:r>
        <w:rPr>
          <w:rFonts w:hint="eastAsia" w:ascii="宋体" w:hAnsi="宋体" w:cs="宋体"/>
          <w:color w:val="auto"/>
          <w:sz w:val="24"/>
          <w:highlight w:val="none"/>
          <w:lang w:val="en-US" w:eastAsia="zh-CN"/>
        </w:rPr>
        <w:t>7225</w:t>
      </w:r>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13211642191</w:t>
      </w:r>
    </w:p>
    <w:p w14:paraId="68AD5939">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3" w:name="_Toc19344"/>
    </w:p>
    <w:p w14:paraId="45E21B0C">
      <w:pPr>
        <w:pStyle w:val="2"/>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67374085"/>
      <w:bookmarkStart w:id="5" w:name="_Toc163472689"/>
      <w:bookmarkStart w:id="6" w:name="_Toc152253383"/>
      <w:bookmarkStart w:id="7" w:name="_Toc164874163"/>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eastAsia="宋体" w:cs="宋体"/>
          <w:b w:val="0"/>
          <w:bCs w:val="0"/>
          <w:sz w:val="24"/>
          <w:szCs w:val="24"/>
          <w:u w:val="single"/>
          <w:lang w:val="en-US" w:eastAsia="zh-CN"/>
        </w:rPr>
        <w:t>50MW光伏项目320KW</w:t>
      </w:r>
      <w:r>
        <w:rPr>
          <w:rFonts w:hint="eastAsia" w:ascii="宋体" w:hAnsi="宋体" w:eastAsia="宋体" w:cs="宋体"/>
          <w:b w:val="0"/>
          <w:bCs w:val="0"/>
          <w:sz w:val="24"/>
          <w:szCs w:val="24"/>
          <w:u w:val="single"/>
        </w:rPr>
        <w:t>组串式逆变器</w:t>
      </w:r>
      <w:r>
        <w:rPr>
          <w:rFonts w:hint="eastAsia" w:ascii="宋体" w:hAnsi="宋体" w:eastAsia="宋体" w:cs="宋体"/>
          <w:sz w:val="24"/>
          <w:szCs w:val="24"/>
          <w:u w:val="single"/>
          <w:lang w:val="en-US" w:eastAsia="zh-CN"/>
        </w:rPr>
        <w:t>采购项目</w:t>
      </w:r>
    </w:p>
    <w:tbl>
      <w:tblPr>
        <w:tblStyle w:val="11"/>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5"/>
          <w:rFonts w:hint="eastAsia" w:ascii="宋体" w:hAnsi="宋体" w:eastAsia="宋体" w:cs="宋体"/>
          <w:b/>
          <w:spacing w:val="-5"/>
          <w:sz w:val="24"/>
          <w:szCs w:val="24"/>
        </w:rPr>
        <w:t>回复邮件至15368718425@163.com</w:t>
      </w:r>
      <w:r>
        <w:rPr>
          <w:rStyle w:val="15"/>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780FD6E3">
      <w:pPr>
        <w:pStyle w:val="3"/>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Chars="0"/>
        <w:textAlignment w:val="auto"/>
        <w:outlineLvl w:val="1"/>
      </w:pPr>
      <w:r>
        <w:rPr>
          <w:rFonts w:hint="eastAsia" w:ascii="宋体" w:hAnsi="宋体" w:eastAsia="宋体" w:cs="宋体"/>
          <w:color w:val="auto"/>
          <w:highlight w:val="none"/>
          <w:lang w:val="en-US" w:eastAsia="zh-CN"/>
        </w:rPr>
        <w:t>技术要求</w:t>
      </w:r>
      <w:bookmarkStart w:id="8" w:name="_Toc4179"/>
      <w:bookmarkStart w:id="9" w:name="_Toc29868"/>
      <w:bookmarkStart w:id="10" w:name="_Toc15176"/>
      <w:bookmarkStart w:id="11" w:name="_Toc19465"/>
      <w:bookmarkStart w:id="12" w:name="_Toc27946"/>
      <w:bookmarkStart w:id="13" w:name="_Toc196"/>
      <w:bookmarkStart w:id="14" w:name="_Toc8093"/>
      <w:bookmarkStart w:id="15" w:name="_Toc21736"/>
      <w:bookmarkStart w:id="16" w:name="_Toc808"/>
      <w:bookmarkStart w:id="17" w:name="_Toc5892"/>
      <w:bookmarkStart w:id="18" w:name="_Toc19048"/>
      <w:bookmarkStart w:id="19" w:name="_Toc28081"/>
    </w:p>
    <w:p w14:paraId="031C7B26">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643" w:firstLineChars="200"/>
        <w:textAlignment w:val="auto"/>
        <w:outlineLvl w:val="1"/>
      </w:pPr>
      <w:r>
        <w:rPr>
          <w:rFonts w:hint="eastAsia"/>
        </w:rPr>
        <w:t>总则</w:t>
      </w:r>
      <w:bookmarkEnd w:id="8"/>
    </w:p>
    <w:p w14:paraId="7102F485">
      <w:pPr>
        <w:pStyle w:val="24"/>
        <w:ind w:firstLine="480" w:firstLineChars="200"/>
      </w:pPr>
      <w:r>
        <w:rPr>
          <w:rFonts w:hint="eastAsia"/>
        </w:rPr>
        <w:t>本技术协议适用于</w:t>
      </w:r>
      <w:r>
        <w:rPr>
          <w:rFonts w:hint="eastAsia"/>
          <w:lang w:val="en-US" w:eastAsia="zh-CN"/>
        </w:rPr>
        <w:t>云南省玉溪市高粱冲50MW</w:t>
      </w:r>
      <w:r>
        <w:rPr>
          <w:rFonts w:hint="eastAsia"/>
        </w:rPr>
        <w:t>光伏并网发电项目，它对组串式逆变器本体的功能设计、结构、性能安装和试验等方面提出了技术要求。</w:t>
      </w:r>
    </w:p>
    <w:p w14:paraId="196B96B8">
      <w:pPr>
        <w:pStyle w:val="24"/>
        <w:ind w:firstLine="480" w:firstLineChars="200"/>
      </w:pPr>
      <w:r>
        <w:rPr>
          <w:rFonts w:hint="eastAsia"/>
        </w:rPr>
        <w:t>本技术协议提出的是最低限度的技术要求，并未对一切技术细节做出规定，也未充分引述有关标准和规范的条文，卖方应保证提供符合本技术规范书和有关国家标准并且功能完整、性能优良的优质产品及其相应服务。同时必须满足国家有关安全、环保等强制性标准和规范的要求。</w:t>
      </w:r>
    </w:p>
    <w:p w14:paraId="4F81C2D2">
      <w:pPr>
        <w:pStyle w:val="24"/>
        <w:ind w:firstLine="480" w:firstLineChars="200"/>
      </w:pPr>
      <w:r>
        <w:rPr>
          <w:rFonts w:hint="eastAsia"/>
        </w:rPr>
        <w:t>卖方对其供货范围内的产品质量负责，买方负责现场设备的安装工作。</w:t>
      </w:r>
    </w:p>
    <w:p w14:paraId="401BD20C">
      <w:pPr>
        <w:pStyle w:val="24"/>
        <w:ind w:firstLine="480" w:firstLineChars="200"/>
      </w:pPr>
      <w:r>
        <w:rPr>
          <w:rFonts w:hint="eastAsia"/>
        </w:rPr>
        <w:t>卖方在设备设计和制造中应执行技术协议所列的各项现行（国内、国际）标准。规范书中未提及的内容均满足或优于所列的国家标准、电力行业标准和有关国际标准。有矛盾时，按技术协议或卖方标准执行。</w:t>
      </w:r>
    </w:p>
    <w:p w14:paraId="0655F572">
      <w:pPr>
        <w:pStyle w:val="24"/>
        <w:ind w:firstLine="480" w:firstLineChars="200"/>
      </w:pPr>
      <w:r>
        <w:rPr>
          <w:rFonts w:hint="eastAsia"/>
        </w:rPr>
        <w:t>在签订合同之后，买方和设计方有权提出因规范标准和规定或工程条件发生变化而产生的一些补充要求，具体可由双方共同协商。</w:t>
      </w:r>
    </w:p>
    <w:p w14:paraId="2AB5DD26">
      <w:pPr>
        <w:pStyle w:val="24"/>
        <w:ind w:firstLine="480" w:firstLineChars="200"/>
      </w:pPr>
      <w:r>
        <w:rPr>
          <w:rFonts w:hint="eastAsia"/>
        </w:rPr>
        <w:t>联络方式：设计联络会、电子邮件。日常可以电话及</w:t>
      </w:r>
      <w:r>
        <w:t>QQ</w:t>
      </w:r>
      <w:r>
        <w:rPr>
          <w:rFonts w:hint="eastAsia"/>
        </w:rPr>
        <w:t>等即时通信方式联络。（但具备法律效力的联系方式为设计联络会及电子邮件）。</w:t>
      </w:r>
    </w:p>
    <w:p w14:paraId="1DF1C044">
      <w:pPr>
        <w:pStyle w:val="24"/>
        <w:ind w:firstLine="480" w:firstLineChars="200"/>
      </w:pPr>
      <w:r>
        <w:rPr>
          <w:rFonts w:hint="eastAsia"/>
        </w:rPr>
        <w:t>本技术协议未尽事宜，由双方协商确定。</w:t>
      </w:r>
    </w:p>
    <w:p w14:paraId="5F682591">
      <w:pPr>
        <w:pStyle w:val="24"/>
        <w:ind w:firstLine="480" w:firstLineChars="200"/>
      </w:pPr>
      <w:r>
        <w:rPr>
          <w:rFonts w:hint="eastAsia"/>
        </w:rPr>
        <w:t>技术协议中的商务条款与商务合同不符时，以商务合同为准。</w:t>
      </w:r>
    </w:p>
    <w:p w14:paraId="65651139">
      <w:pPr>
        <w:pStyle w:val="24"/>
        <w:numPr>
          <w:ilvl w:val="4"/>
          <w:numId w:val="0"/>
        </w:numPr>
        <w:rPr>
          <w:b/>
          <w:bCs/>
          <w:sz w:val="36"/>
          <w:szCs w:val="36"/>
        </w:rPr>
      </w:pPr>
      <w:bookmarkStart w:id="20" w:name="_Toc14956"/>
      <w:r>
        <w:rPr>
          <w:rFonts w:hint="eastAsia"/>
          <w:b/>
          <w:bCs/>
          <w:sz w:val="36"/>
          <w:szCs w:val="36"/>
        </w:rPr>
        <w:t>技术标准</w:t>
      </w:r>
      <w:bookmarkEnd w:id="20"/>
    </w:p>
    <w:p w14:paraId="16227C41">
      <w:pPr>
        <w:pStyle w:val="25"/>
        <w:ind w:firstLine="480"/>
      </w:pPr>
      <w:r>
        <w:rPr>
          <w:rFonts w:hint="eastAsia"/>
        </w:rPr>
        <w:t>技术协议范围内的设备应采用中华人民共和国国家标准</w:t>
      </w:r>
      <w:r>
        <w:t>(GB</w:t>
      </w:r>
      <w:r>
        <w:rPr>
          <w:rFonts w:hint="eastAsia"/>
        </w:rPr>
        <w:t>），在国内标准不完善的情况下，可参照选用</w:t>
      </w:r>
      <w:r>
        <w:t>IEC</w:t>
      </w:r>
      <w:r>
        <w:rPr>
          <w:rFonts w:hint="eastAsia"/>
        </w:rPr>
        <w:t>标准或双方认定的其它国家标准。选用标准应为最新版本。</w:t>
      </w:r>
    </w:p>
    <w:p w14:paraId="7B3FF09C">
      <w:pPr>
        <w:pStyle w:val="25"/>
        <w:ind w:firstLine="480"/>
      </w:pPr>
      <w:r>
        <w:rPr>
          <w:rFonts w:hint="eastAsia"/>
        </w:rPr>
        <w:t>技术协议未提及的内容均应符合以下的国家、行业和企业的标准及规范，但不仅限于此，选用标准应为签订合同时的最新版本，若标准之间出现矛盾时，以较高标准为准。</w:t>
      </w:r>
    </w:p>
    <w:p w14:paraId="62848939">
      <w:pPr>
        <w:pStyle w:val="26"/>
      </w:pPr>
      <w:r>
        <w:rPr>
          <w:rFonts w:hint="eastAsia"/>
        </w:rPr>
        <w:t>标准与规范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6"/>
        <w:gridCol w:w="6537"/>
      </w:tblGrid>
      <w:tr w14:paraId="7B41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Pr>
          <w:p w14:paraId="3E870BFB">
            <w:pPr>
              <w:pStyle w:val="27"/>
              <w:jc w:val="left"/>
            </w:pPr>
            <w:r>
              <w:rPr>
                <w:rFonts w:hint="eastAsia"/>
              </w:rPr>
              <w:t>标</w:t>
            </w:r>
            <w:r>
              <w:t xml:space="preserve"> </w:t>
            </w:r>
            <w:r>
              <w:rPr>
                <w:rFonts w:hint="eastAsia"/>
              </w:rPr>
              <w:t>准</w:t>
            </w:r>
            <w:r>
              <w:t xml:space="preserve"> </w:t>
            </w:r>
            <w:r>
              <w:rPr>
                <w:rFonts w:hint="eastAsia"/>
              </w:rPr>
              <w:t>号</w:t>
            </w:r>
          </w:p>
        </w:tc>
        <w:tc>
          <w:tcPr>
            <w:tcW w:w="3365" w:type="pct"/>
          </w:tcPr>
          <w:p w14:paraId="5DE37D10">
            <w:pPr>
              <w:pStyle w:val="27"/>
              <w:jc w:val="left"/>
            </w:pPr>
            <w:r>
              <w:rPr>
                <w:rFonts w:hint="eastAsia"/>
              </w:rPr>
              <w:t>标</w:t>
            </w:r>
            <w:r>
              <w:t xml:space="preserve"> </w:t>
            </w:r>
            <w:r>
              <w:rPr>
                <w:rFonts w:hint="eastAsia"/>
              </w:rPr>
              <w:t>准</w:t>
            </w:r>
            <w:r>
              <w:t xml:space="preserve"> </w:t>
            </w:r>
            <w:r>
              <w:rPr>
                <w:rFonts w:hint="eastAsia"/>
              </w:rPr>
              <w:t>名</w:t>
            </w:r>
            <w:r>
              <w:t xml:space="preserve"> </w:t>
            </w:r>
            <w:r>
              <w:rPr>
                <w:rFonts w:hint="eastAsia"/>
              </w:rPr>
              <w:t>称</w:t>
            </w:r>
          </w:p>
        </w:tc>
      </w:tr>
      <w:tr w14:paraId="616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1F5F7B07">
            <w:pPr>
              <w:pStyle w:val="28"/>
              <w:jc w:val="both"/>
            </w:pPr>
            <w:bookmarkStart w:id="21" w:name="_Hlk85890505"/>
            <w:r>
              <w:t>GB/T 37408</w:t>
            </w:r>
          </w:p>
        </w:tc>
        <w:tc>
          <w:tcPr>
            <w:tcW w:w="3365" w:type="pct"/>
            <w:vAlign w:val="center"/>
          </w:tcPr>
          <w:p w14:paraId="2CFF8367">
            <w:pPr>
              <w:pStyle w:val="28"/>
              <w:jc w:val="both"/>
            </w:pPr>
            <w:r>
              <w:t>光伏发电并网逆变器技术要求</w:t>
            </w:r>
          </w:p>
        </w:tc>
      </w:tr>
      <w:tr w14:paraId="088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57E4EB0F">
            <w:pPr>
              <w:pStyle w:val="28"/>
              <w:jc w:val="both"/>
            </w:pPr>
            <w:r>
              <w:t>GB/T 37409</w:t>
            </w:r>
          </w:p>
        </w:tc>
        <w:tc>
          <w:tcPr>
            <w:tcW w:w="3365" w:type="pct"/>
            <w:vAlign w:val="center"/>
          </w:tcPr>
          <w:p w14:paraId="041A85DB">
            <w:pPr>
              <w:pStyle w:val="28"/>
              <w:jc w:val="both"/>
            </w:pPr>
            <w:r>
              <w:t>光伏发电并网逆变器检测技术规范</w:t>
            </w:r>
          </w:p>
        </w:tc>
      </w:tr>
      <w:tr w14:paraId="6E4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426A7F30">
            <w:pPr>
              <w:pStyle w:val="28"/>
              <w:jc w:val="both"/>
            </w:pPr>
            <w:r>
              <w:t>NB/T 32004</w:t>
            </w:r>
          </w:p>
        </w:tc>
        <w:tc>
          <w:tcPr>
            <w:tcW w:w="3365" w:type="pct"/>
            <w:vAlign w:val="center"/>
          </w:tcPr>
          <w:p w14:paraId="0A9E19C0">
            <w:pPr>
              <w:pStyle w:val="28"/>
              <w:jc w:val="both"/>
            </w:pPr>
            <w:r>
              <w:t>光伏并网逆变器技术规范</w:t>
            </w:r>
          </w:p>
        </w:tc>
      </w:tr>
      <w:tr w14:paraId="6C5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56CCF794">
            <w:pPr>
              <w:pStyle w:val="28"/>
              <w:jc w:val="both"/>
            </w:pPr>
            <w:bookmarkStart w:id="22" w:name="OLE_LINK5"/>
            <w:r>
              <w:t>GB/T 19964</w:t>
            </w:r>
            <w:bookmarkEnd w:id="22"/>
          </w:p>
        </w:tc>
        <w:tc>
          <w:tcPr>
            <w:tcW w:w="3365" w:type="pct"/>
            <w:vAlign w:val="center"/>
          </w:tcPr>
          <w:p w14:paraId="1042C382">
            <w:pPr>
              <w:pStyle w:val="28"/>
              <w:jc w:val="both"/>
            </w:pPr>
            <w:r>
              <w:t>光伏发电站接入电力系统技术规定</w:t>
            </w:r>
          </w:p>
        </w:tc>
      </w:tr>
      <w:tr w14:paraId="3B8E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47DDBE43">
            <w:pPr>
              <w:pStyle w:val="28"/>
              <w:jc w:val="both"/>
            </w:pPr>
            <w:r>
              <w:t>GB 19517</w:t>
            </w:r>
          </w:p>
        </w:tc>
        <w:tc>
          <w:tcPr>
            <w:tcW w:w="3365" w:type="pct"/>
            <w:vAlign w:val="center"/>
          </w:tcPr>
          <w:p w14:paraId="20D8E323">
            <w:pPr>
              <w:pStyle w:val="28"/>
              <w:jc w:val="both"/>
            </w:pPr>
            <w:r>
              <w:t>国家电气设备安全技术规范</w:t>
            </w:r>
          </w:p>
        </w:tc>
      </w:tr>
      <w:tr w14:paraId="7554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657F7F44">
            <w:pPr>
              <w:pStyle w:val="28"/>
              <w:jc w:val="both"/>
              <w:rPr>
                <w:highlight w:val="yellow"/>
              </w:rPr>
            </w:pPr>
            <w:bookmarkStart w:id="23" w:name="_Hlk107513267"/>
            <w:r>
              <w:t>GB 4208</w:t>
            </w:r>
          </w:p>
        </w:tc>
        <w:tc>
          <w:tcPr>
            <w:tcW w:w="3365" w:type="pct"/>
            <w:vAlign w:val="center"/>
          </w:tcPr>
          <w:p w14:paraId="67424B70">
            <w:pPr>
              <w:pStyle w:val="28"/>
              <w:jc w:val="both"/>
            </w:pPr>
            <w:r>
              <w:t>外壳防护等级（IP代码）（equ IEC 60529）</w:t>
            </w:r>
          </w:p>
        </w:tc>
      </w:tr>
      <w:bookmarkEnd w:id="23"/>
      <w:tr w14:paraId="613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55DDF862">
            <w:pPr>
              <w:pStyle w:val="28"/>
              <w:jc w:val="both"/>
              <w:rPr>
                <w:highlight w:val="yellow"/>
              </w:rPr>
            </w:pPr>
            <w:r>
              <w:t>GB/T 191</w:t>
            </w:r>
          </w:p>
        </w:tc>
        <w:tc>
          <w:tcPr>
            <w:tcW w:w="3365" w:type="pct"/>
            <w:vAlign w:val="center"/>
          </w:tcPr>
          <w:p w14:paraId="3F8EB838">
            <w:pPr>
              <w:pStyle w:val="28"/>
              <w:jc w:val="both"/>
              <w:rPr>
                <w:highlight w:val="yellow"/>
              </w:rPr>
            </w:pPr>
            <w:r>
              <w:t>包装储运图示标志</w:t>
            </w:r>
          </w:p>
        </w:tc>
      </w:tr>
      <w:tr w14:paraId="445A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25EE7A5C">
            <w:pPr>
              <w:pStyle w:val="28"/>
              <w:jc w:val="both"/>
            </w:pPr>
            <w:r>
              <w:t>GB/T 3873</w:t>
            </w:r>
          </w:p>
        </w:tc>
        <w:tc>
          <w:tcPr>
            <w:tcW w:w="3365" w:type="pct"/>
            <w:vAlign w:val="center"/>
          </w:tcPr>
          <w:p w14:paraId="48D8E873">
            <w:pPr>
              <w:pStyle w:val="28"/>
              <w:jc w:val="both"/>
            </w:pPr>
            <w:r>
              <w:t>通信设备产品包装通用技术条件</w:t>
            </w:r>
          </w:p>
        </w:tc>
      </w:tr>
      <w:tr w14:paraId="0892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5833DA2D">
            <w:pPr>
              <w:pStyle w:val="28"/>
              <w:jc w:val="both"/>
            </w:pPr>
            <w:r>
              <w:t>GB/T 16471</w:t>
            </w:r>
          </w:p>
        </w:tc>
        <w:tc>
          <w:tcPr>
            <w:tcW w:w="3365" w:type="pct"/>
            <w:vAlign w:val="center"/>
          </w:tcPr>
          <w:p w14:paraId="5845CB3C">
            <w:pPr>
              <w:pStyle w:val="28"/>
              <w:jc w:val="both"/>
            </w:pPr>
            <w:r>
              <w:t>运输包装件尺寸与质量界限</w:t>
            </w:r>
          </w:p>
        </w:tc>
      </w:tr>
      <w:tr w14:paraId="007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7C8F8707">
            <w:pPr>
              <w:pStyle w:val="28"/>
              <w:jc w:val="both"/>
            </w:pPr>
            <w:r>
              <w:t>GB/T 2423.1</w:t>
            </w:r>
          </w:p>
        </w:tc>
        <w:tc>
          <w:tcPr>
            <w:tcW w:w="3365" w:type="pct"/>
            <w:vAlign w:val="center"/>
          </w:tcPr>
          <w:p w14:paraId="293C1161">
            <w:pPr>
              <w:pStyle w:val="28"/>
              <w:jc w:val="both"/>
            </w:pPr>
            <w:r>
              <w:t>电工电子产品基本环境试验规程 试验A：低温试验方法</w:t>
            </w:r>
          </w:p>
        </w:tc>
      </w:tr>
      <w:tr w14:paraId="0A82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68B0CBDF">
            <w:pPr>
              <w:pStyle w:val="28"/>
              <w:jc w:val="both"/>
            </w:pPr>
            <w:r>
              <w:t>GB/T 2423.2</w:t>
            </w:r>
          </w:p>
        </w:tc>
        <w:tc>
          <w:tcPr>
            <w:tcW w:w="3365" w:type="pct"/>
            <w:vAlign w:val="center"/>
          </w:tcPr>
          <w:p w14:paraId="618A1CE0">
            <w:pPr>
              <w:pStyle w:val="28"/>
              <w:jc w:val="both"/>
            </w:pPr>
            <w:r>
              <w:t>电工电子产品基本环境试验规程 试验B：高温试验方法</w:t>
            </w:r>
          </w:p>
        </w:tc>
      </w:tr>
      <w:tr w14:paraId="4043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534578BB">
            <w:pPr>
              <w:pStyle w:val="28"/>
              <w:jc w:val="both"/>
            </w:pPr>
            <w:r>
              <w:t>GB/T 2423.3</w:t>
            </w:r>
          </w:p>
        </w:tc>
        <w:tc>
          <w:tcPr>
            <w:tcW w:w="3365" w:type="pct"/>
            <w:vAlign w:val="center"/>
          </w:tcPr>
          <w:p w14:paraId="2B358BDB">
            <w:pPr>
              <w:pStyle w:val="28"/>
              <w:jc w:val="both"/>
            </w:pPr>
            <w:r>
              <w:t xml:space="preserve">电工电子产品环境试验 </w:t>
            </w:r>
            <w:r>
              <w:rPr>
                <w:rFonts w:hint="eastAsia"/>
              </w:rPr>
              <w:t>第2部分：</w:t>
            </w:r>
            <w:r>
              <w:t>试验</w:t>
            </w:r>
            <w:r>
              <w:rPr>
                <w:rFonts w:hint="eastAsia"/>
              </w:rPr>
              <w:t>方法 试验Cab</w:t>
            </w:r>
            <w:r>
              <w:t>：</w:t>
            </w:r>
            <w:r>
              <w:rPr>
                <w:rFonts w:hint="eastAsia"/>
              </w:rPr>
              <w:t>恒定湿热方法</w:t>
            </w:r>
          </w:p>
        </w:tc>
      </w:tr>
      <w:tr w14:paraId="464D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68ADA008">
            <w:pPr>
              <w:pStyle w:val="28"/>
              <w:jc w:val="both"/>
            </w:pPr>
            <w:r>
              <w:t>GB/T 2423.9</w:t>
            </w:r>
          </w:p>
        </w:tc>
        <w:tc>
          <w:tcPr>
            <w:tcW w:w="3365" w:type="pct"/>
            <w:vAlign w:val="center"/>
          </w:tcPr>
          <w:p w14:paraId="67E138CE">
            <w:pPr>
              <w:pStyle w:val="28"/>
              <w:jc w:val="both"/>
            </w:pPr>
            <w:r>
              <w:t>电工电子产品基本环境试验规程 试验Cb：设备用恒定湿热试验方法</w:t>
            </w:r>
          </w:p>
        </w:tc>
      </w:tr>
      <w:tr w14:paraId="12B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1B734A3D">
            <w:pPr>
              <w:pStyle w:val="28"/>
              <w:jc w:val="both"/>
            </w:pPr>
            <w:r>
              <w:t>GB/T 2423.10</w:t>
            </w:r>
          </w:p>
        </w:tc>
        <w:tc>
          <w:tcPr>
            <w:tcW w:w="3365" w:type="pct"/>
            <w:vAlign w:val="center"/>
          </w:tcPr>
          <w:p w14:paraId="30F3C3FA">
            <w:pPr>
              <w:pStyle w:val="28"/>
              <w:jc w:val="both"/>
            </w:pPr>
            <w:r>
              <w:t>电工电子产品基本环境试验规程 试验Fc：振动（正弦）</w:t>
            </w:r>
          </w:p>
        </w:tc>
      </w:tr>
      <w:tr w14:paraId="0793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56D0B9C4">
            <w:pPr>
              <w:pStyle w:val="28"/>
              <w:jc w:val="both"/>
            </w:pPr>
            <w:r>
              <w:t>GB/T 12326</w:t>
            </w:r>
          </w:p>
        </w:tc>
        <w:tc>
          <w:tcPr>
            <w:tcW w:w="3365" w:type="pct"/>
            <w:vAlign w:val="center"/>
          </w:tcPr>
          <w:p w14:paraId="20736FC5">
            <w:pPr>
              <w:pStyle w:val="28"/>
              <w:jc w:val="both"/>
            </w:pPr>
            <w:r>
              <w:t>电能质量 电压波动和闪变</w:t>
            </w:r>
          </w:p>
        </w:tc>
      </w:tr>
      <w:tr w14:paraId="772A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423C95FF">
            <w:pPr>
              <w:pStyle w:val="28"/>
              <w:jc w:val="both"/>
            </w:pPr>
            <w:r>
              <w:t>GB/T 12325</w:t>
            </w:r>
          </w:p>
        </w:tc>
        <w:tc>
          <w:tcPr>
            <w:tcW w:w="3365" w:type="pct"/>
            <w:vAlign w:val="center"/>
          </w:tcPr>
          <w:p w14:paraId="29532E7B">
            <w:pPr>
              <w:pStyle w:val="28"/>
              <w:jc w:val="both"/>
            </w:pPr>
            <w:r>
              <w:t>电能质量 供电电压允许偏差</w:t>
            </w:r>
          </w:p>
        </w:tc>
      </w:tr>
      <w:tr w14:paraId="2949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44B2EC09">
            <w:pPr>
              <w:pStyle w:val="28"/>
              <w:jc w:val="both"/>
            </w:pPr>
            <w:r>
              <w:t>GB/T 14549</w:t>
            </w:r>
          </w:p>
        </w:tc>
        <w:tc>
          <w:tcPr>
            <w:tcW w:w="3365" w:type="pct"/>
            <w:vAlign w:val="center"/>
          </w:tcPr>
          <w:p w14:paraId="1F15FAF3">
            <w:pPr>
              <w:pStyle w:val="28"/>
              <w:jc w:val="both"/>
            </w:pPr>
            <w:r>
              <w:t>电能质量 公用电网谐波</w:t>
            </w:r>
          </w:p>
        </w:tc>
      </w:tr>
      <w:tr w14:paraId="7D35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70EE5095">
            <w:pPr>
              <w:pStyle w:val="28"/>
              <w:jc w:val="both"/>
            </w:pPr>
            <w:r>
              <w:t>GB/T 15543</w:t>
            </w:r>
          </w:p>
        </w:tc>
        <w:tc>
          <w:tcPr>
            <w:tcW w:w="3365" w:type="pct"/>
            <w:vAlign w:val="center"/>
          </w:tcPr>
          <w:p w14:paraId="01964730">
            <w:pPr>
              <w:pStyle w:val="28"/>
              <w:jc w:val="both"/>
            </w:pPr>
            <w:r>
              <w:t>电能质量 三相电压允许不平衡度</w:t>
            </w:r>
          </w:p>
        </w:tc>
      </w:tr>
      <w:tr w14:paraId="1186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106DECE4">
            <w:pPr>
              <w:pStyle w:val="28"/>
              <w:jc w:val="both"/>
            </w:pPr>
            <w:r>
              <w:t>GB/T 15945</w:t>
            </w:r>
          </w:p>
        </w:tc>
        <w:tc>
          <w:tcPr>
            <w:tcW w:w="3365" w:type="pct"/>
            <w:vAlign w:val="center"/>
          </w:tcPr>
          <w:p w14:paraId="642599B4">
            <w:pPr>
              <w:pStyle w:val="28"/>
              <w:jc w:val="both"/>
            </w:pPr>
            <w:r>
              <w:t>电能质量 电力系统频率偏差</w:t>
            </w:r>
          </w:p>
        </w:tc>
      </w:tr>
      <w:tr w14:paraId="0FD5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vAlign w:val="center"/>
          </w:tcPr>
          <w:p w14:paraId="6E44FAFD">
            <w:pPr>
              <w:pStyle w:val="28"/>
              <w:jc w:val="both"/>
            </w:pPr>
            <w:r>
              <w:t>GB/T 17626系列</w:t>
            </w:r>
          </w:p>
        </w:tc>
        <w:tc>
          <w:tcPr>
            <w:tcW w:w="3365" w:type="pct"/>
            <w:vAlign w:val="center"/>
          </w:tcPr>
          <w:p w14:paraId="675DAD80">
            <w:pPr>
              <w:pStyle w:val="28"/>
              <w:jc w:val="both"/>
            </w:pPr>
            <w:r>
              <w:t>电磁兼容性相关标准</w:t>
            </w:r>
          </w:p>
        </w:tc>
      </w:tr>
      <w:bookmarkEnd w:id="21"/>
    </w:tbl>
    <w:p w14:paraId="501FCA14">
      <w:pPr>
        <w:pStyle w:val="23"/>
        <w:numPr>
          <w:ilvl w:val="0"/>
          <w:numId w:val="0"/>
        </w:numPr>
        <w:ind w:leftChars="0"/>
      </w:pPr>
      <w:bookmarkStart w:id="24" w:name="_Toc13670"/>
      <w:r>
        <w:rPr>
          <w:rFonts w:hint="eastAsia"/>
        </w:rPr>
        <w:t>使用环境条件</w:t>
      </w:r>
      <w:bookmarkEnd w:id="24"/>
    </w:p>
    <w:p w14:paraId="2C06C9BF">
      <w:pPr>
        <w:pStyle w:val="26"/>
        <w:numPr>
          <w:ilvl w:val="8"/>
          <w:numId w:val="5"/>
        </w:numPr>
      </w:pPr>
      <w:r>
        <w:rPr>
          <w:rFonts w:hint="eastAsia"/>
        </w:rPr>
        <w:t>使用环境条件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0"/>
        <w:gridCol w:w="3901"/>
      </w:tblGrid>
      <w:tr w14:paraId="7FA1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51B1363E">
            <w:pPr>
              <w:pStyle w:val="28"/>
            </w:pPr>
            <w:r>
              <w:t>设备存储运输温度</w:t>
            </w:r>
          </w:p>
        </w:tc>
        <w:tc>
          <w:tcPr>
            <w:tcW w:w="3901" w:type="dxa"/>
          </w:tcPr>
          <w:p w14:paraId="167AC9EF">
            <w:pPr>
              <w:pStyle w:val="28"/>
            </w:pPr>
            <w:r>
              <w:t>-40</w:t>
            </w:r>
            <w:r>
              <w:rPr>
                <w:rFonts w:hint="eastAsia" w:ascii="宋体" w:hAnsi="宋体" w:cs="宋体"/>
              </w:rPr>
              <w:t>℃</w:t>
            </w:r>
            <w:r>
              <w:t xml:space="preserve"> ～ +70</w:t>
            </w:r>
            <w:r>
              <w:rPr>
                <w:rFonts w:hint="eastAsia" w:ascii="宋体" w:hAnsi="宋体" w:cs="宋体"/>
              </w:rPr>
              <w:t>℃</w:t>
            </w:r>
          </w:p>
        </w:tc>
      </w:tr>
      <w:tr w14:paraId="2E5B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73E097D9">
            <w:pPr>
              <w:pStyle w:val="28"/>
            </w:pPr>
            <w:r>
              <w:t>设备运行温度</w:t>
            </w:r>
          </w:p>
        </w:tc>
        <w:tc>
          <w:tcPr>
            <w:tcW w:w="3901" w:type="dxa"/>
          </w:tcPr>
          <w:p w14:paraId="0A2E540D">
            <w:pPr>
              <w:pStyle w:val="28"/>
            </w:pPr>
            <w:r>
              <w:t>-30</w:t>
            </w:r>
            <w:r>
              <w:rPr>
                <w:rFonts w:hint="eastAsia" w:ascii="宋体" w:hAnsi="宋体" w:cs="宋体"/>
              </w:rPr>
              <w:t>℃</w:t>
            </w:r>
            <w:r>
              <w:t xml:space="preserve"> ～ +60</w:t>
            </w:r>
            <w:r>
              <w:rPr>
                <w:rFonts w:hint="eastAsia" w:ascii="宋体" w:hAnsi="宋体" w:cs="宋体"/>
              </w:rPr>
              <w:t>℃</w:t>
            </w:r>
          </w:p>
        </w:tc>
      </w:tr>
      <w:tr w14:paraId="553A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78DC4A4D">
            <w:pPr>
              <w:pStyle w:val="28"/>
            </w:pPr>
            <w:r>
              <w:t>设备运行相对湿度</w:t>
            </w:r>
          </w:p>
        </w:tc>
        <w:tc>
          <w:tcPr>
            <w:tcW w:w="3901" w:type="dxa"/>
          </w:tcPr>
          <w:p w14:paraId="361B6D3A">
            <w:pPr>
              <w:pStyle w:val="28"/>
            </w:pPr>
            <w:r>
              <w:t>0 ～ 100%</w:t>
            </w:r>
          </w:p>
        </w:tc>
      </w:tr>
      <w:tr w14:paraId="0975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2EA95F8C">
            <w:pPr>
              <w:pStyle w:val="28"/>
            </w:pPr>
            <w:r>
              <w:t>最高工作海拔高度</w:t>
            </w:r>
          </w:p>
        </w:tc>
        <w:tc>
          <w:tcPr>
            <w:tcW w:w="3901" w:type="dxa"/>
          </w:tcPr>
          <w:p w14:paraId="32C34D36">
            <w:pPr>
              <w:pStyle w:val="28"/>
            </w:pPr>
            <w:r>
              <w:t>5000m（＞4000m降额）</w:t>
            </w:r>
          </w:p>
        </w:tc>
      </w:tr>
      <w:tr w14:paraId="2202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0" w:type="dxa"/>
          </w:tcPr>
          <w:p w14:paraId="07FEA6BA">
            <w:pPr>
              <w:pStyle w:val="28"/>
            </w:pPr>
            <w:r>
              <w:t>污秽等级</w:t>
            </w:r>
          </w:p>
        </w:tc>
        <w:tc>
          <w:tcPr>
            <w:tcW w:w="3901" w:type="dxa"/>
          </w:tcPr>
          <w:p w14:paraId="4F4EEDB5">
            <w:pPr>
              <w:pStyle w:val="28"/>
            </w:pPr>
            <w:r>
              <w:rPr>
                <w:rFonts w:hint="eastAsia"/>
              </w:rPr>
              <w:t>I</w:t>
            </w:r>
            <w:r>
              <w:t>II级</w:t>
            </w:r>
          </w:p>
        </w:tc>
      </w:tr>
    </w:tbl>
    <w:p w14:paraId="2FB0B090">
      <w:pPr>
        <w:pStyle w:val="23"/>
        <w:numPr>
          <w:ilvl w:val="0"/>
          <w:numId w:val="5"/>
        </w:numPr>
      </w:pPr>
      <w:bookmarkStart w:id="25" w:name="_Toc25494"/>
      <w:r>
        <w:rPr>
          <w:rFonts w:hint="eastAsia"/>
        </w:rPr>
        <w:t>组串式逆变器技术要求</w:t>
      </w:r>
      <w:bookmarkEnd w:id="25"/>
    </w:p>
    <w:p w14:paraId="462B30A6">
      <w:pPr>
        <w:pStyle w:val="29"/>
        <w:numPr>
          <w:ilvl w:val="1"/>
          <w:numId w:val="5"/>
        </w:numPr>
      </w:pPr>
      <w:bookmarkStart w:id="26" w:name="_Toc6877"/>
      <w:bookmarkStart w:id="27" w:name="_Toc113522156"/>
      <w:r>
        <w:rPr>
          <w:rFonts w:hint="eastAsia"/>
        </w:rPr>
        <w:t>一般要求</w:t>
      </w:r>
      <w:bookmarkEnd w:id="26"/>
      <w:bookmarkEnd w:id="27"/>
    </w:p>
    <w:p w14:paraId="0362FC80">
      <w:pPr>
        <w:pStyle w:val="24"/>
        <w:numPr>
          <w:ilvl w:val="4"/>
          <w:numId w:val="5"/>
        </w:numPr>
        <w:ind w:firstLine="480" w:firstLineChars="200"/>
      </w:pPr>
      <w:r>
        <w:rPr>
          <w:rFonts w:hint="eastAsia"/>
        </w:rPr>
        <w:t>光伏并网逆变器的形式为：三相交流光伏组串式并网逆变器。</w:t>
      </w:r>
    </w:p>
    <w:p w14:paraId="077D6882">
      <w:pPr>
        <w:pStyle w:val="24"/>
        <w:numPr>
          <w:ilvl w:val="4"/>
          <w:numId w:val="5"/>
        </w:numPr>
        <w:ind w:firstLine="480" w:firstLineChars="200"/>
      </w:pPr>
      <w:r>
        <w:rPr>
          <w:rFonts w:hint="eastAsia"/>
        </w:rPr>
        <w:t>光伏并网逆变器的最大输出功率为</w:t>
      </w:r>
      <w:r>
        <w:t>352kW</w:t>
      </w:r>
      <w:r>
        <w:rPr>
          <w:rFonts w:hint="eastAsia"/>
        </w:rPr>
        <w:t>，额定输出功率为</w:t>
      </w:r>
      <w:r>
        <w:t>320kW</w:t>
      </w:r>
      <w:r>
        <w:rPr>
          <w:rFonts w:hint="eastAsia"/>
        </w:rPr>
        <w:t>，M</w:t>
      </w:r>
      <w:r>
        <w:t>PPT</w:t>
      </w:r>
      <w:r>
        <w:rPr>
          <w:rFonts w:hint="eastAsia"/>
        </w:rPr>
        <w:t>路数为</w:t>
      </w:r>
      <w:r>
        <w:t>6</w:t>
      </w:r>
      <w:r>
        <w:rPr>
          <w:rFonts w:hint="eastAsia"/>
        </w:rPr>
        <w:t>路，输入组串路数为</w:t>
      </w:r>
      <w:r>
        <w:t>30</w:t>
      </w:r>
      <w:r>
        <w:rPr>
          <w:rFonts w:hint="eastAsia"/>
        </w:rPr>
        <w:t>路。</w:t>
      </w:r>
    </w:p>
    <w:p w14:paraId="711F0AEE">
      <w:pPr>
        <w:pStyle w:val="24"/>
        <w:numPr>
          <w:ilvl w:val="4"/>
          <w:numId w:val="5"/>
        </w:numPr>
        <w:ind w:firstLine="480" w:firstLineChars="200"/>
      </w:pPr>
      <w:r>
        <w:rPr>
          <w:rFonts w:hint="eastAsia"/>
        </w:rPr>
        <w:t>并网逆变器作为不可分割的成套设备由卖方成套提供，不允许进行任何形式的拆分、分包或外协，其内部的所有机械、电气、通信、外壳、接地等连接和配合均属于卖方的责任范畴，与买方无关。</w:t>
      </w:r>
    </w:p>
    <w:p w14:paraId="4EF34625">
      <w:pPr>
        <w:pStyle w:val="24"/>
        <w:numPr>
          <w:ilvl w:val="4"/>
          <w:numId w:val="5"/>
        </w:numPr>
        <w:ind w:firstLine="480" w:firstLineChars="200"/>
      </w:pPr>
      <w:r>
        <w:rPr>
          <w:rFonts w:hint="eastAsia"/>
        </w:rPr>
        <w:t>并网逆变器的每路直流输入电缆导体截面积为</w:t>
      </w:r>
      <w:r>
        <w:t>4mm²</w:t>
      </w:r>
      <w:r>
        <w:rPr>
          <w:rFonts w:hint="eastAsia"/>
        </w:rPr>
        <w:t>或</w:t>
      </w:r>
      <w:r>
        <w:t>6mm²</w:t>
      </w:r>
      <w:r>
        <w:rPr>
          <w:rFonts w:hint="eastAsia"/>
        </w:rPr>
        <w:t>的光伏专用电缆，接线采用</w:t>
      </w:r>
      <w:bookmarkStart w:id="28" w:name="OLE_LINK4"/>
      <w:r>
        <w:rPr>
          <w:rFonts w:hint="eastAsia"/>
        </w:rPr>
        <w:t>C</w:t>
      </w:r>
      <w:r>
        <w:t>T75A-1T</w:t>
      </w:r>
      <w:bookmarkEnd w:id="28"/>
      <w:r>
        <w:rPr>
          <w:rFonts w:hint="eastAsia"/>
        </w:rPr>
        <w:t>端子，要求电缆外径在</w:t>
      </w:r>
      <w:r>
        <w:t>4.7mm-6.4mm</w:t>
      </w:r>
      <w:r>
        <w:rPr>
          <w:rFonts w:hint="eastAsia"/>
        </w:rPr>
        <w:t>范围内。应使用卖方提供的C</w:t>
      </w:r>
      <w:r>
        <w:t>T75A-1T</w:t>
      </w:r>
      <w:r>
        <w:rPr>
          <w:rFonts w:hint="eastAsia"/>
        </w:rPr>
        <w:t>端子，若使用其他端子导致设备故障或损毁，卖方不承担造成的损失。</w:t>
      </w:r>
    </w:p>
    <w:p w14:paraId="65D6D2AE">
      <w:pPr>
        <w:pStyle w:val="24"/>
        <w:numPr>
          <w:ilvl w:val="4"/>
          <w:numId w:val="5"/>
        </w:numPr>
        <w:ind w:firstLine="480" w:firstLineChars="200"/>
      </w:pPr>
      <w:r>
        <w:rPr>
          <w:rFonts w:hint="eastAsia"/>
        </w:rPr>
        <w:t>并网逆变器交流输出标配的出线密封穿线板可接电缆外径范围为</w:t>
      </w:r>
      <w:r>
        <w:t>40mm-75mm</w:t>
      </w:r>
      <w:r>
        <w:rPr>
          <w:rFonts w:hint="eastAsia"/>
        </w:rPr>
        <w:t>，要求逆变器支持无</w:t>
      </w:r>
      <w:r>
        <w:t>N</w:t>
      </w:r>
      <w:r>
        <w:rPr>
          <w:rFonts w:hint="eastAsia"/>
        </w:rPr>
        <w:t>线输出三相三线系统，最大支持</w:t>
      </w:r>
      <w:r>
        <w:t>3*400mm</w:t>
      </w:r>
      <w:r>
        <w:rPr>
          <w:vertAlign w:val="superscript"/>
        </w:rPr>
        <w:t>2</w:t>
      </w:r>
      <w:r>
        <w:rPr>
          <w:rFonts w:hint="eastAsia"/>
        </w:rPr>
        <w:t>，具体线径根据项目需求确定。交流输出线缆接线采用</w:t>
      </w:r>
      <w:r>
        <w:t>OT/DT</w:t>
      </w:r>
      <w:r>
        <w:rPr>
          <w:rFonts w:hint="eastAsia"/>
        </w:rPr>
        <w:t>压接端子，端子规格为</w:t>
      </w:r>
      <w:r>
        <w:t>M12</w:t>
      </w:r>
      <w:r>
        <w:rPr>
          <w:rFonts w:hint="eastAsia"/>
        </w:rPr>
        <w:t>，</w:t>
      </w:r>
      <w:r>
        <w:t>OT/DT</w:t>
      </w:r>
      <w:r>
        <w:rPr>
          <w:rFonts w:hint="eastAsia"/>
        </w:rPr>
        <w:t>端子详细尺寸要求见产品结构图。该端子应与逆变器交流输出端子规格相匹配。买方必须保证交流电缆满足逆变器的工作要求。</w:t>
      </w:r>
    </w:p>
    <w:p w14:paraId="7D5D43DC">
      <w:pPr>
        <w:pStyle w:val="24"/>
        <w:numPr>
          <w:ilvl w:val="4"/>
          <w:numId w:val="5"/>
        </w:numPr>
        <w:ind w:firstLine="480" w:firstLineChars="200"/>
      </w:pPr>
      <w:r>
        <w:rPr>
          <w:rFonts w:hint="eastAsia"/>
        </w:rPr>
        <w:t>实际施工中应保证并网逆变器直流输入及交流输出电缆外径在以上接线端端子可接外径范围内。实际施工中直流输入电缆外径如大于以上接线端端子可接外径范围上限，会导致电缆无法接入接线端端子中，如小于范围下限，电缆虽然可以接入但接线端端子接线处密封不紧；同理交流输出电缆外径如超出以上交流出线密封板线径范围上限，将无法接入机器中，如小于范围下限，会导致密封板密封不紧。当电缆外径超出允许范围时，详细方案设计请咨询卖方技术工程师。（直流输入端子堵头随逆变器发货，未使用的直流输入端子必须保证有堵头密封。）</w:t>
      </w:r>
    </w:p>
    <w:p w14:paraId="7E014947">
      <w:pPr>
        <w:pStyle w:val="24"/>
        <w:numPr>
          <w:ilvl w:val="4"/>
          <w:numId w:val="5"/>
        </w:numPr>
        <w:ind w:firstLine="480" w:firstLineChars="200"/>
      </w:pPr>
      <w:r>
        <w:rPr>
          <w:rFonts w:hint="eastAsia"/>
        </w:rPr>
        <w:t>光伏并网逆变器箱内应有可靠的保护接地。逆变器接地导体截面积应满足标准</w:t>
      </w:r>
      <w:r>
        <w:t>GB/T 37408</w:t>
      </w:r>
      <w:r>
        <w:rPr>
          <w:rFonts w:hint="eastAsia"/>
        </w:rPr>
        <w:t>要求。</w:t>
      </w:r>
    </w:p>
    <w:p w14:paraId="12651A76">
      <w:pPr>
        <w:pStyle w:val="24"/>
        <w:numPr>
          <w:ilvl w:val="4"/>
          <w:numId w:val="5"/>
        </w:numPr>
        <w:ind w:firstLine="480" w:firstLineChars="200"/>
      </w:pPr>
      <w:r>
        <w:rPr>
          <w:rFonts w:hint="eastAsia"/>
        </w:rPr>
        <w:t>并网逆变器必须具备完备、准确、可靠的直流绝缘监测功能。同时，并网逆变器的输入电路对地应能满足</w:t>
      </w:r>
      <w:r>
        <w:t>NB/T 32004</w:t>
      </w:r>
      <w:r>
        <w:rPr>
          <w:rFonts w:hint="eastAsia"/>
        </w:rPr>
        <w:t>的冲击耐受电压要求。并网逆变器内的元器件布置应符合国内外的相关安规要求。</w:t>
      </w:r>
    </w:p>
    <w:p w14:paraId="4BB4E979">
      <w:pPr>
        <w:pStyle w:val="24"/>
        <w:numPr>
          <w:ilvl w:val="4"/>
          <w:numId w:val="5"/>
        </w:numPr>
        <w:ind w:firstLine="480" w:firstLineChars="200"/>
      </w:pPr>
      <w:r>
        <w:rPr>
          <w:rFonts w:hint="eastAsia"/>
        </w:rPr>
        <w:t>并网逆变器应具备直流智能跳脱开关，能快速自动分断故障，冗余保护提升系统安全性。设备内部故障时，逆变器能检测到异常，快速断开直流能量，缩小故障范围。</w:t>
      </w:r>
    </w:p>
    <w:p w14:paraId="4489966C">
      <w:pPr>
        <w:pStyle w:val="24"/>
        <w:numPr>
          <w:ilvl w:val="4"/>
          <w:numId w:val="5"/>
        </w:numPr>
        <w:ind w:firstLine="480" w:firstLineChars="200"/>
      </w:pPr>
      <w:r>
        <w:rPr>
          <w:rFonts w:hint="eastAsia"/>
        </w:rPr>
        <w:t>并网</w:t>
      </w:r>
      <w:r>
        <w:t>逆变器应具有防止直流侧和交流侧入侵雷电波和操作过电压的功能，充分保护设备安全。当光伏组件或逆变器安装在35kV及以上架空线路</w:t>
      </w:r>
      <w:r>
        <w:rPr>
          <w:rFonts w:hint="eastAsia"/>
        </w:rPr>
        <w:t>下面</w:t>
      </w:r>
      <w:r>
        <w:t>时，光伏组件和逆变器</w:t>
      </w:r>
      <w:r>
        <w:rPr>
          <w:rFonts w:hint="eastAsia"/>
        </w:rPr>
        <w:t>的</w:t>
      </w:r>
      <w:r>
        <w:t>接地网与铁塔的接地网要独立，并保持15m以上距离，为减少遮挡导致的发电量损失，架空线路下不建议安装光伏组件</w:t>
      </w:r>
      <w:r>
        <w:rPr>
          <w:rFonts w:cs="Times New Roman"/>
        </w:rPr>
        <w:t>。</w:t>
      </w:r>
    </w:p>
    <w:p w14:paraId="6D5C98E7">
      <w:pPr>
        <w:pStyle w:val="24"/>
        <w:numPr>
          <w:ilvl w:val="4"/>
          <w:numId w:val="5"/>
        </w:numPr>
        <w:spacing w:before="120" w:after="120"/>
        <w:ind w:firstLine="480" w:firstLineChars="200"/>
      </w:pPr>
      <w:r>
        <w:rPr>
          <w:rFonts w:hint="eastAsia"/>
        </w:rPr>
        <w:t>并网</w:t>
      </w:r>
      <w:r>
        <w:t>逆变器应能在电子噪声，射频干扰，</w:t>
      </w:r>
      <w:bookmarkStart w:id="29" w:name="_Hlk171950090"/>
      <w:r>
        <w:t>强电磁场等恶劣的电磁环境中安全可靠</w:t>
      </w:r>
      <w:r>
        <w:rPr>
          <w:rFonts w:hint="eastAsia"/>
        </w:rPr>
        <w:t>地</w:t>
      </w:r>
      <w:r>
        <w:t>连续运行，且不降低系统的性能。</w:t>
      </w:r>
      <w:r>
        <w:rPr>
          <w:rFonts w:cs="Times New Roman"/>
        </w:rPr>
        <w:t>根据能标《NB/T 32004光伏并网逆变器技术规范标准规范》</w:t>
      </w:r>
      <w:r>
        <w:rPr>
          <w:rFonts w:hint="eastAsia"/>
        </w:rPr>
        <w:t>要求，</w:t>
      </w:r>
      <w:r>
        <w:rPr>
          <w:rFonts w:cs="Times New Roman"/>
        </w:rPr>
        <w:t>逆变器可承受的最大磁场强度为30A/m（0.0375mT）</w:t>
      </w:r>
      <w:r>
        <w:rPr>
          <w:rFonts w:hint="eastAsia"/>
        </w:rPr>
        <w:t>，禁止逆变器安装环境磁场强度大于</w:t>
      </w:r>
      <w:r>
        <w:rPr>
          <w:rFonts w:cs="Times New Roman"/>
        </w:rPr>
        <w:t>30A/m（0.0375mT）</w:t>
      </w:r>
      <w:r>
        <w:rPr>
          <w:rFonts w:hint="eastAsia"/>
        </w:rPr>
        <w:t>，可</w:t>
      </w:r>
      <w:r>
        <w:rPr>
          <w:rFonts w:cs="Times New Roman"/>
        </w:rPr>
        <w:t>采用手持式高斯计</w:t>
      </w:r>
      <w:r>
        <w:rPr>
          <w:rFonts w:hint="eastAsia"/>
        </w:rPr>
        <w:t>对逆变器安装环境磁场强度进行测量。</w:t>
      </w:r>
    </w:p>
    <w:bookmarkEnd w:id="29"/>
    <w:p w14:paraId="5BD2CA73">
      <w:pPr>
        <w:pStyle w:val="24"/>
        <w:numPr>
          <w:ilvl w:val="4"/>
          <w:numId w:val="5"/>
        </w:numPr>
        <w:ind w:firstLine="480" w:firstLineChars="200"/>
      </w:pPr>
      <w:r>
        <w:rPr>
          <w:rFonts w:hint="eastAsia"/>
        </w:rPr>
        <w:t>成套设备必须在正常的电网环境下安全、正常运行，性能指标达到技术协议中的承诺值。以签订技术协议时间为准，本技术协议满足买方提供项目地电网侧并网标准，签订协议后新的电网并网标准更新引起的逆变器升级改造，由买方承担逆变器的升级改造费用。</w:t>
      </w:r>
    </w:p>
    <w:p w14:paraId="5C31614B">
      <w:pPr>
        <w:pStyle w:val="29"/>
        <w:numPr>
          <w:ilvl w:val="1"/>
          <w:numId w:val="5"/>
        </w:numPr>
      </w:pPr>
      <w:bookmarkStart w:id="30" w:name="_Toc4597"/>
      <w:bookmarkStart w:id="31" w:name="_Toc113522157"/>
      <w:r>
        <w:rPr>
          <w:rFonts w:hint="eastAsia"/>
        </w:rPr>
        <w:t>电能质量</w:t>
      </w:r>
      <w:bookmarkEnd w:id="30"/>
      <w:bookmarkEnd w:id="31"/>
    </w:p>
    <w:p w14:paraId="27DAEAD4">
      <w:pPr>
        <w:pStyle w:val="25"/>
        <w:ind w:firstLine="480"/>
      </w:pPr>
      <w:r>
        <w:rPr>
          <w:rFonts w:hint="eastAsia"/>
        </w:rPr>
        <w:t>逆变器向交流负载提供电能的质量应受控，应保证逆变器交流侧所有电能质量（电压、频率、谐波等）符合相关标准要求。</w:t>
      </w:r>
    </w:p>
    <w:p w14:paraId="5C9E489B">
      <w:pPr>
        <w:pStyle w:val="24"/>
        <w:numPr>
          <w:ilvl w:val="4"/>
          <w:numId w:val="5"/>
        </w:numPr>
      </w:pPr>
      <w:r>
        <w:rPr>
          <w:rFonts w:hint="eastAsia"/>
        </w:rPr>
        <w:t>谐波和波形畸变</w:t>
      </w:r>
    </w:p>
    <w:p w14:paraId="4A4B18F5">
      <w:pPr>
        <w:pStyle w:val="25"/>
        <w:ind w:firstLine="480"/>
      </w:pPr>
      <w:r>
        <w:rPr>
          <w:rFonts w:hint="eastAsia"/>
        </w:rPr>
        <w:t>逆变器运行时，注入电网的电流谐波总畸变率限值为</w:t>
      </w:r>
      <w:r>
        <w:t>5%</w:t>
      </w:r>
      <w:r>
        <w:rPr>
          <w:rFonts w:hint="eastAsia"/>
        </w:rPr>
        <w:t>。各次谐波应限制在下表所列的百分比之内。</w:t>
      </w:r>
    </w:p>
    <w:p w14:paraId="3869085C">
      <w:pPr>
        <w:pStyle w:val="26"/>
        <w:numPr>
          <w:ilvl w:val="8"/>
          <w:numId w:val="5"/>
        </w:numPr>
      </w:pPr>
      <w:r>
        <w:rPr>
          <w:rFonts w:hint="eastAsia"/>
        </w:rPr>
        <w:t>奇次谐波电流含有率限值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5363"/>
      </w:tblGrid>
      <w:tr w14:paraId="71E3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60" w:type="dxa"/>
            <w:vAlign w:val="center"/>
          </w:tcPr>
          <w:p w14:paraId="19A8A9EF">
            <w:pPr>
              <w:pStyle w:val="27"/>
            </w:pPr>
            <w:r>
              <w:t>奇次谐波</w:t>
            </w:r>
          </w:p>
        </w:tc>
        <w:tc>
          <w:tcPr>
            <w:tcW w:w="5363" w:type="dxa"/>
            <w:vAlign w:val="center"/>
          </w:tcPr>
          <w:p w14:paraId="768BF283">
            <w:pPr>
              <w:pStyle w:val="27"/>
            </w:pPr>
            <w:r>
              <w:t>畸变限值</w:t>
            </w:r>
          </w:p>
        </w:tc>
      </w:tr>
      <w:tr w14:paraId="591C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60" w:type="dxa"/>
            <w:vAlign w:val="center"/>
          </w:tcPr>
          <w:p w14:paraId="423473F5">
            <w:pPr>
              <w:pStyle w:val="28"/>
            </w:pPr>
            <w:r>
              <w:t>3次至9次</w:t>
            </w:r>
          </w:p>
        </w:tc>
        <w:tc>
          <w:tcPr>
            <w:tcW w:w="5363" w:type="dxa"/>
            <w:vAlign w:val="center"/>
          </w:tcPr>
          <w:p w14:paraId="71515AFD">
            <w:pPr>
              <w:pStyle w:val="28"/>
            </w:pPr>
            <w:r>
              <w:t>＜4.0%</w:t>
            </w:r>
          </w:p>
        </w:tc>
      </w:tr>
      <w:tr w14:paraId="1B78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60" w:type="dxa"/>
            <w:vAlign w:val="center"/>
          </w:tcPr>
          <w:p w14:paraId="36425CE0">
            <w:pPr>
              <w:pStyle w:val="28"/>
            </w:pPr>
            <w:r>
              <w:t>11次至15次</w:t>
            </w:r>
          </w:p>
        </w:tc>
        <w:tc>
          <w:tcPr>
            <w:tcW w:w="5363" w:type="dxa"/>
            <w:vAlign w:val="center"/>
          </w:tcPr>
          <w:p w14:paraId="2AF1DB56">
            <w:pPr>
              <w:pStyle w:val="28"/>
            </w:pPr>
            <w:r>
              <w:t>＜2.0%</w:t>
            </w:r>
          </w:p>
        </w:tc>
      </w:tr>
      <w:tr w14:paraId="144A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60" w:type="dxa"/>
            <w:vAlign w:val="center"/>
          </w:tcPr>
          <w:p w14:paraId="6FC3E20B">
            <w:pPr>
              <w:pStyle w:val="28"/>
            </w:pPr>
            <w:r>
              <w:t>17次至21次</w:t>
            </w:r>
          </w:p>
        </w:tc>
        <w:tc>
          <w:tcPr>
            <w:tcW w:w="5363" w:type="dxa"/>
            <w:vAlign w:val="center"/>
          </w:tcPr>
          <w:p w14:paraId="48C3A2D4">
            <w:pPr>
              <w:pStyle w:val="28"/>
            </w:pPr>
            <w:r>
              <w:t>＜1.5%</w:t>
            </w:r>
          </w:p>
        </w:tc>
      </w:tr>
      <w:tr w14:paraId="0F5B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60" w:type="dxa"/>
            <w:vAlign w:val="center"/>
          </w:tcPr>
          <w:p w14:paraId="05A9D6A7">
            <w:pPr>
              <w:pStyle w:val="28"/>
            </w:pPr>
            <w:r>
              <w:t>23次至33次</w:t>
            </w:r>
          </w:p>
        </w:tc>
        <w:tc>
          <w:tcPr>
            <w:tcW w:w="5363" w:type="dxa"/>
            <w:vAlign w:val="center"/>
          </w:tcPr>
          <w:p w14:paraId="5F9C6F00">
            <w:pPr>
              <w:pStyle w:val="28"/>
            </w:pPr>
            <w:r>
              <w:t>＜0.6%</w:t>
            </w:r>
          </w:p>
        </w:tc>
      </w:tr>
      <w:tr w14:paraId="09E2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60" w:type="dxa"/>
            <w:vAlign w:val="center"/>
          </w:tcPr>
          <w:p w14:paraId="3B6EBC44">
            <w:pPr>
              <w:pStyle w:val="28"/>
            </w:pPr>
            <w:r>
              <w:t>35次至39次</w:t>
            </w:r>
          </w:p>
        </w:tc>
        <w:tc>
          <w:tcPr>
            <w:tcW w:w="5363" w:type="dxa"/>
            <w:vAlign w:val="center"/>
          </w:tcPr>
          <w:p w14:paraId="22394396">
            <w:pPr>
              <w:pStyle w:val="28"/>
            </w:pPr>
            <w:r>
              <w:t>＜0.3%</w:t>
            </w:r>
          </w:p>
        </w:tc>
      </w:tr>
    </w:tbl>
    <w:p w14:paraId="64FB5996">
      <w:pPr>
        <w:pStyle w:val="26"/>
        <w:numPr>
          <w:ilvl w:val="8"/>
          <w:numId w:val="5"/>
        </w:numPr>
      </w:pPr>
      <w:r>
        <w:rPr>
          <w:rFonts w:hint="eastAsia"/>
        </w:rPr>
        <w:t>偶次谐波电流含有率限值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5443"/>
      </w:tblGrid>
      <w:tr w14:paraId="4DF9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vAlign w:val="center"/>
          </w:tcPr>
          <w:p w14:paraId="12B19787">
            <w:pPr>
              <w:pStyle w:val="27"/>
            </w:pPr>
            <w:r>
              <w:t>偶次谐波</w:t>
            </w:r>
          </w:p>
        </w:tc>
        <w:tc>
          <w:tcPr>
            <w:tcW w:w="5443" w:type="dxa"/>
            <w:vAlign w:val="center"/>
          </w:tcPr>
          <w:p w14:paraId="420ED475">
            <w:pPr>
              <w:pStyle w:val="27"/>
            </w:pPr>
            <w:r>
              <w:t>畸变限值</w:t>
            </w:r>
          </w:p>
        </w:tc>
      </w:tr>
      <w:tr w14:paraId="345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vAlign w:val="center"/>
          </w:tcPr>
          <w:p w14:paraId="759B5B55">
            <w:pPr>
              <w:pStyle w:val="28"/>
            </w:pPr>
            <w:r>
              <w:t>2次至10次</w:t>
            </w:r>
          </w:p>
        </w:tc>
        <w:tc>
          <w:tcPr>
            <w:tcW w:w="5443" w:type="dxa"/>
            <w:vAlign w:val="center"/>
          </w:tcPr>
          <w:p w14:paraId="640BD0CD">
            <w:pPr>
              <w:pStyle w:val="28"/>
            </w:pPr>
            <w:r>
              <w:t>＜1.0%</w:t>
            </w:r>
          </w:p>
        </w:tc>
      </w:tr>
      <w:tr w14:paraId="3A5F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vAlign w:val="center"/>
          </w:tcPr>
          <w:p w14:paraId="68C81937">
            <w:pPr>
              <w:pStyle w:val="28"/>
            </w:pPr>
            <w:r>
              <w:t>12次至16次</w:t>
            </w:r>
          </w:p>
        </w:tc>
        <w:tc>
          <w:tcPr>
            <w:tcW w:w="5443" w:type="dxa"/>
            <w:vAlign w:val="center"/>
          </w:tcPr>
          <w:p w14:paraId="5F7C3090">
            <w:pPr>
              <w:pStyle w:val="28"/>
            </w:pPr>
            <w:r>
              <w:t>＜0.5%</w:t>
            </w:r>
          </w:p>
        </w:tc>
      </w:tr>
      <w:tr w14:paraId="096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vAlign w:val="center"/>
          </w:tcPr>
          <w:p w14:paraId="0FD9764B">
            <w:pPr>
              <w:pStyle w:val="28"/>
            </w:pPr>
            <w:r>
              <w:t>18次至22次</w:t>
            </w:r>
          </w:p>
        </w:tc>
        <w:tc>
          <w:tcPr>
            <w:tcW w:w="5443" w:type="dxa"/>
            <w:vAlign w:val="center"/>
          </w:tcPr>
          <w:p w14:paraId="249BD5D8">
            <w:pPr>
              <w:pStyle w:val="28"/>
            </w:pPr>
            <w:r>
              <w:t>＜0.375%</w:t>
            </w:r>
          </w:p>
        </w:tc>
      </w:tr>
      <w:tr w14:paraId="3504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vAlign w:val="center"/>
          </w:tcPr>
          <w:p w14:paraId="60F0BCBD">
            <w:pPr>
              <w:pStyle w:val="28"/>
            </w:pPr>
            <w:r>
              <w:t>24次至34次</w:t>
            </w:r>
          </w:p>
        </w:tc>
        <w:tc>
          <w:tcPr>
            <w:tcW w:w="5443" w:type="dxa"/>
            <w:vAlign w:val="center"/>
          </w:tcPr>
          <w:p w14:paraId="0E85907B">
            <w:pPr>
              <w:pStyle w:val="28"/>
            </w:pPr>
            <w:r>
              <w:t>＜0.15%</w:t>
            </w:r>
          </w:p>
        </w:tc>
      </w:tr>
      <w:tr w14:paraId="47D4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5" w:type="dxa"/>
            <w:vAlign w:val="center"/>
          </w:tcPr>
          <w:p w14:paraId="061B0664">
            <w:pPr>
              <w:pStyle w:val="28"/>
            </w:pPr>
            <w:r>
              <w:t>36次至40次</w:t>
            </w:r>
          </w:p>
        </w:tc>
        <w:tc>
          <w:tcPr>
            <w:tcW w:w="5443" w:type="dxa"/>
            <w:vAlign w:val="center"/>
          </w:tcPr>
          <w:p w14:paraId="55D0D6FC">
            <w:pPr>
              <w:pStyle w:val="28"/>
            </w:pPr>
            <w:r>
              <w:t>＜0.075%</w:t>
            </w:r>
          </w:p>
        </w:tc>
      </w:tr>
    </w:tbl>
    <w:p w14:paraId="416F14FF">
      <w:pPr>
        <w:pStyle w:val="24"/>
        <w:numPr>
          <w:ilvl w:val="4"/>
          <w:numId w:val="5"/>
        </w:numPr>
      </w:pPr>
      <w:r>
        <w:rPr>
          <w:rFonts w:hint="eastAsia"/>
        </w:rPr>
        <w:t>功率因数（</w:t>
      </w:r>
      <w:r>
        <w:t>PF</w:t>
      </w:r>
      <w:r>
        <w:rPr>
          <w:rFonts w:hint="eastAsia"/>
        </w:rPr>
        <w:t>）</w:t>
      </w:r>
    </w:p>
    <w:p w14:paraId="5D854723">
      <w:pPr>
        <w:pStyle w:val="25"/>
        <w:ind w:firstLine="480"/>
      </w:pPr>
      <w:r>
        <w:rPr>
          <w:rFonts w:hint="eastAsia"/>
        </w:rPr>
        <w:t>正常运行条件下，当光伏系统中逆变器的输出大于其额定输出的</w:t>
      </w:r>
      <w:r>
        <w:t>50%</w:t>
      </w:r>
      <w:r>
        <w:rPr>
          <w:rFonts w:hint="eastAsia"/>
        </w:rPr>
        <w:t>时，功率因数应不小于</w:t>
      </w:r>
      <w:r>
        <w:t>0.98</w:t>
      </w:r>
      <w:r>
        <w:rPr>
          <w:rFonts w:hint="eastAsia"/>
        </w:rPr>
        <w:t>（超前或滞后）。功率因数（</w:t>
      </w:r>
      <w:r>
        <w:t>PF</w:t>
      </w:r>
      <w:r>
        <w:rPr>
          <w:rFonts w:hint="eastAsia"/>
        </w:rPr>
        <w:t>）计算公式为：</w:t>
      </w:r>
    </w:p>
    <w:p w14:paraId="5948E1D9">
      <w:pPr>
        <w:pStyle w:val="30"/>
        <w:spacing w:before="156" w:after="156"/>
        <w:ind w:left="420"/>
        <w:rPr>
          <w:rFonts w:ascii="Times New Roman" w:hAnsi="Times New Roman"/>
          <w:spacing w:val="10"/>
          <w:sz w:val="21"/>
          <w:szCs w:val="21"/>
        </w:rPr>
      </w:pPr>
      <m:oMathPara>
        <m:oMath>
          <m:r>
            <m:rPr/>
            <w:rPr>
              <w:rFonts w:ascii="Cambria Math" w:hAnsi="Cambria Math"/>
              <w:sz w:val="21"/>
              <w:szCs w:val="21"/>
            </w:rPr>
            <m:t>P</m:t>
          </m:r>
          <m:r>
            <m:rPr/>
            <w:rPr>
              <w:rStyle w:val="31"/>
              <w:rFonts w:ascii="Cambria Math" w:hAnsi="Cambria Math"/>
            </w:rPr>
            <m:t>F=</m:t>
          </m:r>
          <m:f>
            <m:fPr>
              <m:ctrlPr>
                <w:rPr>
                  <w:rStyle w:val="31"/>
                  <w:rFonts w:ascii="Cambria Math" w:hAnsi="Cambria Math"/>
                </w:rPr>
              </m:ctrlPr>
            </m:fPr>
            <m:num>
              <m:sSub>
                <m:sSubPr>
                  <m:ctrlPr>
                    <w:rPr>
                      <w:rStyle w:val="31"/>
                      <w:rFonts w:ascii="Cambria Math" w:hAnsi="Cambria Math"/>
                    </w:rPr>
                  </m:ctrlPr>
                </m:sSubPr>
                <m:e>
                  <m:r>
                    <m:rPr/>
                    <w:rPr>
                      <w:rStyle w:val="31"/>
                      <w:rFonts w:ascii="Cambria Math" w:hAnsi="Cambria Math"/>
                    </w:rPr>
                    <m:t>P</m:t>
                  </m:r>
                  <m:ctrlPr>
                    <w:rPr>
                      <w:rStyle w:val="31"/>
                      <w:rFonts w:ascii="Cambria Math" w:hAnsi="Cambria Math"/>
                    </w:rPr>
                  </m:ctrlPr>
                </m:e>
                <m:sub>
                  <m:r>
                    <m:rPr/>
                    <w:rPr>
                      <w:rStyle w:val="31"/>
                      <w:rFonts w:hint="eastAsia" w:ascii="Cambria Math" w:hAnsi="Cambria Math"/>
                    </w:rPr>
                    <m:t>out</m:t>
                  </m:r>
                  <m:ctrlPr>
                    <w:rPr>
                      <w:rStyle w:val="31"/>
                      <w:rFonts w:ascii="Cambria Math" w:hAnsi="Cambria Math"/>
                    </w:rPr>
                  </m:ctrlPr>
                </m:sub>
              </m:sSub>
              <m:ctrlPr>
                <w:rPr>
                  <w:rStyle w:val="31"/>
                  <w:rFonts w:ascii="Cambria Math" w:hAnsi="Cambria Math"/>
                </w:rPr>
              </m:ctrlPr>
            </m:num>
            <m:den>
              <m:rad>
                <m:radPr>
                  <m:degHide m:val="1"/>
                  <m:ctrlPr>
                    <w:rPr>
                      <w:rStyle w:val="31"/>
                      <w:rFonts w:ascii="Cambria Math" w:hAnsi="Cambria Math"/>
                    </w:rPr>
                  </m:ctrlPr>
                </m:radPr>
                <m:deg>
                  <m:ctrlPr>
                    <w:rPr>
                      <w:rStyle w:val="31"/>
                      <w:rFonts w:ascii="Cambria Math" w:hAnsi="Cambria Math"/>
                    </w:rPr>
                  </m:ctrlPr>
                </m:deg>
                <m:e>
                  <m:sSup>
                    <m:sSupPr>
                      <m:ctrlPr>
                        <w:rPr>
                          <w:rStyle w:val="31"/>
                          <w:rFonts w:ascii="Cambria Math" w:hAnsi="Cambria Math"/>
                        </w:rPr>
                      </m:ctrlPr>
                    </m:sSupPr>
                    <m:e>
                      <m:sSub>
                        <m:sSubPr>
                          <m:ctrlPr>
                            <w:rPr>
                              <w:rStyle w:val="31"/>
                              <w:rFonts w:ascii="Cambria Math" w:hAnsi="Cambria Math"/>
                            </w:rPr>
                          </m:ctrlPr>
                        </m:sSubPr>
                        <m:e>
                          <m:r>
                            <m:rPr/>
                            <w:rPr>
                              <w:rStyle w:val="31"/>
                              <w:rFonts w:ascii="Cambria Math" w:hAnsi="Cambria Math"/>
                            </w:rPr>
                            <m:t>P</m:t>
                          </m:r>
                          <m:ctrlPr>
                            <w:rPr>
                              <w:rStyle w:val="31"/>
                              <w:rFonts w:ascii="Cambria Math" w:hAnsi="Cambria Math"/>
                            </w:rPr>
                          </m:ctrlPr>
                        </m:e>
                        <m:sub>
                          <m:r>
                            <m:rPr/>
                            <w:rPr>
                              <w:rStyle w:val="31"/>
                              <w:rFonts w:ascii="Cambria Math" w:hAnsi="Cambria Math"/>
                            </w:rPr>
                            <m:t>out</m:t>
                          </m:r>
                          <m:ctrlPr>
                            <w:rPr>
                              <w:rStyle w:val="31"/>
                              <w:rFonts w:ascii="Cambria Math" w:hAnsi="Cambria Math"/>
                            </w:rPr>
                          </m:ctrlPr>
                        </m:sub>
                      </m:sSub>
                      <m:ctrlPr>
                        <w:rPr>
                          <w:rStyle w:val="31"/>
                          <w:rFonts w:ascii="Cambria Math" w:hAnsi="Cambria Math"/>
                        </w:rPr>
                      </m:ctrlPr>
                    </m:e>
                    <m:sup>
                      <m:r>
                        <m:rPr/>
                        <w:rPr>
                          <w:rStyle w:val="31"/>
                          <w:rFonts w:ascii="Cambria Math" w:hAnsi="Cambria Math"/>
                        </w:rPr>
                        <m:t>2</m:t>
                      </m:r>
                      <m:ctrlPr>
                        <w:rPr>
                          <w:rStyle w:val="31"/>
                          <w:rFonts w:ascii="Cambria Math" w:hAnsi="Cambria Math"/>
                        </w:rPr>
                      </m:ctrlPr>
                    </m:sup>
                  </m:sSup>
                  <m:r>
                    <m:rPr/>
                    <w:rPr>
                      <w:rStyle w:val="31"/>
                      <w:rFonts w:ascii="Cambria Math" w:hAnsi="Cambria Math"/>
                    </w:rPr>
                    <m:t>+</m:t>
                  </m:r>
                  <m:sSup>
                    <m:sSupPr>
                      <m:ctrlPr>
                        <w:rPr>
                          <w:rStyle w:val="31"/>
                          <w:rFonts w:ascii="Cambria Math" w:hAnsi="Cambria Math"/>
                        </w:rPr>
                      </m:ctrlPr>
                    </m:sSupPr>
                    <m:e>
                      <m:sSub>
                        <m:sSubPr>
                          <m:ctrlPr>
                            <w:rPr>
                              <w:rStyle w:val="31"/>
                              <w:rFonts w:ascii="Cambria Math" w:hAnsi="Cambria Math"/>
                            </w:rPr>
                          </m:ctrlPr>
                        </m:sSubPr>
                        <m:e>
                          <m:r>
                            <m:rPr/>
                            <w:rPr>
                              <w:rStyle w:val="31"/>
                              <w:rFonts w:ascii="Cambria Math" w:hAnsi="Cambria Math"/>
                            </w:rPr>
                            <m:t>Q</m:t>
                          </m:r>
                          <m:ctrlPr>
                            <w:rPr>
                              <w:rStyle w:val="31"/>
                              <w:rFonts w:ascii="Cambria Math" w:hAnsi="Cambria Math"/>
                            </w:rPr>
                          </m:ctrlPr>
                        </m:e>
                        <m:sub>
                          <m:r>
                            <m:rPr/>
                            <w:rPr>
                              <w:rStyle w:val="31"/>
                              <w:rFonts w:ascii="Cambria Math" w:hAnsi="Cambria Math"/>
                            </w:rPr>
                            <m:t>out</m:t>
                          </m:r>
                          <m:ctrlPr>
                            <w:rPr>
                              <w:rStyle w:val="31"/>
                              <w:rFonts w:ascii="Cambria Math" w:hAnsi="Cambria Math"/>
                            </w:rPr>
                          </m:ctrlPr>
                        </m:sub>
                      </m:sSub>
                      <m:ctrlPr>
                        <w:rPr>
                          <w:rStyle w:val="31"/>
                          <w:rFonts w:ascii="Cambria Math" w:hAnsi="Cambria Math"/>
                        </w:rPr>
                      </m:ctrlPr>
                    </m:e>
                    <m:sup>
                      <m:r>
                        <m:rPr/>
                        <w:rPr>
                          <w:rStyle w:val="31"/>
                          <w:rFonts w:ascii="Cambria Math" w:hAnsi="Cambria Math"/>
                        </w:rPr>
                        <m:t>2</m:t>
                      </m:r>
                      <m:ctrlPr>
                        <w:rPr>
                          <w:rStyle w:val="31"/>
                          <w:rFonts w:ascii="Cambria Math" w:hAnsi="Cambria Math"/>
                        </w:rPr>
                      </m:ctrlPr>
                    </m:sup>
                  </m:sSup>
                  <m:ctrlPr>
                    <w:rPr>
                      <w:rStyle w:val="31"/>
                      <w:rFonts w:ascii="Cambria Math" w:hAnsi="Cambria Math"/>
                    </w:rPr>
                  </m:ctrlPr>
                </m:e>
              </m:rad>
              <m:ctrlPr>
                <w:rPr>
                  <w:rStyle w:val="31"/>
                  <w:rFonts w:ascii="Cambria Math" w:hAnsi="Cambria Math"/>
                </w:rPr>
              </m:ctrlPr>
            </m:den>
          </m:f>
        </m:oMath>
      </m:oMathPara>
    </w:p>
    <w:p w14:paraId="6EF2521F">
      <w:pPr>
        <w:pStyle w:val="25"/>
        <w:ind w:firstLine="480"/>
      </w:pPr>
      <w:r>
        <w:rPr>
          <w:rFonts w:hint="eastAsia"/>
        </w:rPr>
        <w:t>式中：</w:t>
      </w:r>
    </w:p>
    <w:p w14:paraId="61456DE4">
      <w:pPr>
        <w:pStyle w:val="25"/>
        <w:ind w:firstLine="480"/>
      </w:pPr>
      <w:r>
        <w:t>P</w:t>
      </w:r>
      <w:r>
        <w:rPr>
          <w:vertAlign w:val="subscript"/>
        </w:rPr>
        <w:t>out</w:t>
      </w:r>
      <w:r>
        <w:t>——</w:t>
      </w:r>
      <w:r>
        <w:rPr>
          <w:rFonts w:hint="eastAsia"/>
        </w:rPr>
        <w:t>逆变器输出总有功功率；</w:t>
      </w:r>
    </w:p>
    <w:p w14:paraId="3F959CC5">
      <w:pPr>
        <w:pStyle w:val="25"/>
        <w:ind w:firstLine="480"/>
      </w:pPr>
      <w:r>
        <w:t>Q</w:t>
      </w:r>
      <w:r>
        <w:rPr>
          <w:vertAlign w:val="subscript"/>
        </w:rPr>
        <w:t>out</w:t>
      </w:r>
      <w:r>
        <w:t>——</w:t>
      </w:r>
      <w:r>
        <w:rPr>
          <w:rFonts w:hint="eastAsia"/>
        </w:rPr>
        <w:t>逆变器输出总无功功率。</w:t>
      </w:r>
    </w:p>
    <w:p w14:paraId="69ABFC58">
      <w:pPr>
        <w:pStyle w:val="24"/>
        <w:numPr>
          <w:ilvl w:val="4"/>
          <w:numId w:val="5"/>
        </w:numPr>
      </w:pPr>
      <w:r>
        <w:rPr>
          <w:rFonts w:hint="eastAsia"/>
        </w:rPr>
        <w:t>电流不平衡度</w:t>
      </w:r>
    </w:p>
    <w:p w14:paraId="05FCA074">
      <w:pPr>
        <w:pStyle w:val="25"/>
        <w:ind w:firstLine="480"/>
      </w:pPr>
      <w:r>
        <w:rPr>
          <w:rFonts w:hint="eastAsia"/>
        </w:rPr>
        <w:t>逆变器负序三相电流不平衡度不应超过</w:t>
      </w:r>
      <w:r>
        <w:t>2%</w:t>
      </w:r>
      <w:r>
        <w:rPr>
          <w:rFonts w:hint="eastAsia"/>
        </w:rPr>
        <w:t>，短时不应超过</w:t>
      </w:r>
      <w:r>
        <w:t>4%</w:t>
      </w:r>
      <w:r>
        <w:rPr>
          <w:rFonts w:hint="eastAsia"/>
        </w:rPr>
        <w:t>。</w:t>
      </w:r>
    </w:p>
    <w:p w14:paraId="47A42582">
      <w:pPr>
        <w:pStyle w:val="24"/>
        <w:numPr>
          <w:ilvl w:val="4"/>
          <w:numId w:val="5"/>
        </w:numPr>
      </w:pPr>
      <w:r>
        <w:rPr>
          <w:rFonts w:hint="eastAsia"/>
        </w:rPr>
        <w:t>直流分量</w:t>
      </w:r>
    </w:p>
    <w:p w14:paraId="7F3FBBDF">
      <w:pPr>
        <w:pStyle w:val="25"/>
        <w:ind w:firstLine="480"/>
      </w:pPr>
      <w:r>
        <w:rPr>
          <w:rFonts w:hint="eastAsia"/>
        </w:rPr>
        <w:t>光伏系统正常并网运行时，逆变器向电网馈送的直流电流分量不应超过其交流额定值的</w:t>
      </w:r>
      <w:r>
        <w:t>0.5%</w:t>
      </w:r>
      <w:r>
        <w:rPr>
          <w:rFonts w:hint="eastAsia"/>
        </w:rPr>
        <w:t>。</w:t>
      </w:r>
    </w:p>
    <w:p w14:paraId="4B175D70">
      <w:pPr>
        <w:pStyle w:val="24"/>
        <w:numPr>
          <w:ilvl w:val="4"/>
          <w:numId w:val="5"/>
        </w:numPr>
      </w:pPr>
      <w:r>
        <w:rPr>
          <w:rFonts w:hint="eastAsia"/>
        </w:rPr>
        <w:t>电压偏差</w:t>
      </w:r>
    </w:p>
    <w:p w14:paraId="5A685C3D">
      <w:pPr>
        <w:pStyle w:val="25"/>
        <w:ind w:firstLine="480"/>
      </w:pPr>
      <w:r>
        <w:rPr>
          <w:rFonts w:hint="eastAsia"/>
        </w:rPr>
        <w:t>正常运行时，光伏系统和电网接口处的电压允许偏差应符合</w:t>
      </w:r>
      <w:r>
        <w:t>GB/T 12325</w:t>
      </w:r>
      <w:r>
        <w:rPr>
          <w:rFonts w:hint="eastAsia"/>
        </w:rPr>
        <w:t>的规定。</w:t>
      </w:r>
    </w:p>
    <w:p w14:paraId="70A78618">
      <w:pPr>
        <w:pStyle w:val="24"/>
        <w:numPr>
          <w:ilvl w:val="4"/>
          <w:numId w:val="5"/>
        </w:numPr>
      </w:pPr>
      <w:r>
        <w:rPr>
          <w:rFonts w:hint="eastAsia"/>
        </w:rPr>
        <w:t>电压不平衡度</w:t>
      </w:r>
    </w:p>
    <w:p w14:paraId="65D0432C">
      <w:pPr>
        <w:pStyle w:val="25"/>
        <w:ind w:firstLine="480"/>
      </w:pPr>
      <w:r>
        <w:rPr>
          <w:rFonts w:hint="eastAsia"/>
        </w:rPr>
        <w:t>由并网逆变器所引起的电压不平衡，不应超过</w:t>
      </w:r>
      <w:r>
        <w:t>GB/T 15543</w:t>
      </w:r>
      <w:r>
        <w:rPr>
          <w:rFonts w:hint="eastAsia"/>
        </w:rPr>
        <w:t>标准的限值。</w:t>
      </w:r>
      <w:r>
        <w:br w:type="page"/>
      </w:r>
    </w:p>
    <w:p w14:paraId="01ADE3F4">
      <w:pPr>
        <w:pStyle w:val="29"/>
        <w:numPr>
          <w:ilvl w:val="1"/>
          <w:numId w:val="5"/>
        </w:numPr>
      </w:pPr>
      <w:bookmarkStart w:id="32" w:name="_Toc28307"/>
      <w:bookmarkStart w:id="33" w:name="_Toc113522158"/>
      <w:r>
        <w:rPr>
          <w:rFonts w:hint="eastAsia"/>
        </w:rPr>
        <w:t>保护与性能</w:t>
      </w:r>
      <w:bookmarkEnd w:id="32"/>
      <w:bookmarkEnd w:id="33"/>
    </w:p>
    <w:p w14:paraId="070EA983">
      <w:pPr>
        <w:pStyle w:val="25"/>
        <w:ind w:firstLine="480"/>
      </w:pPr>
      <w:r>
        <w:rPr>
          <w:rFonts w:hint="eastAsia"/>
        </w:rPr>
        <w:t>在正常的逆变器运行环境和符合国标要求的电网环境下，逆变器不应出现误停机、误报警和其他无故停止工作的情况。当出现故障时，逆变器应能够按照设计的保护功能可靠动作。</w:t>
      </w:r>
    </w:p>
    <w:p w14:paraId="5889BDF7">
      <w:pPr>
        <w:pStyle w:val="24"/>
        <w:numPr>
          <w:ilvl w:val="4"/>
          <w:numId w:val="5"/>
        </w:numPr>
      </w:pPr>
      <w:r>
        <w:rPr>
          <w:rFonts w:hint="eastAsia"/>
        </w:rPr>
        <w:t>电网短路保护</w:t>
      </w:r>
    </w:p>
    <w:p w14:paraId="3749801E">
      <w:pPr>
        <w:pStyle w:val="25"/>
        <w:ind w:firstLine="480"/>
      </w:pPr>
      <w:r>
        <w:rPr>
          <w:rFonts w:hint="eastAsia"/>
        </w:rPr>
        <w:t>并网逆变器的交流输出应设置过流保护。当检测到并网逆变器的过电流应大于峰值电流的187</w:t>
      </w:r>
      <w:r>
        <w:t>%</w:t>
      </w:r>
      <w:r>
        <w:rPr>
          <w:rFonts w:hint="eastAsia"/>
        </w:rPr>
        <w:t>时，即判定为电网侧发生短路，此时逆变器会在10u</w:t>
      </w:r>
      <w:r>
        <w:t>s</w:t>
      </w:r>
      <w:r>
        <w:rPr>
          <w:rFonts w:hint="eastAsia"/>
        </w:rPr>
        <w:t>内</w:t>
      </w:r>
      <w:r>
        <w:t>封锁脉冲</w:t>
      </w:r>
      <w:r>
        <w:rPr>
          <w:rFonts w:hint="eastAsia"/>
        </w:rPr>
        <w:t>，同时发出警示信号。故障排除后，并网逆变器应能正常工作。</w:t>
      </w:r>
    </w:p>
    <w:p w14:paraId="19C4CFD3">
      <w:pPr>
        <w:pStyle w:val="24"/>
        <w:numPr>
          <w:ilvl w:val="4"/>
          <w:numId w:val="5"/>
        </w:numPr>
      </w:pPr>
      <w:r>
        <w:rPr>
          <w:rFonts w:hint="eastAsia"/>
        </w:rPr>
        <w:t>恢复并网功能</w:t>
      </w:r>
    </w:p>
    <w:p w14:paraId="2E658BB9">
      <w:pPr>
        <w:pStyle w:val="25"/>
        <w:ind w:firstLine="480"/>
      </w:pPr>
      <w:r>
        <w:rPr>
          <w:rFonts w:hint="eastAsia"/>
        </w:rPr>
        <w:t>因电压或频率异常保护后，逆变器是否自行恢复并网应可设置。在设置为自动恢复的情况下，电网的电压和频率恢复到正常范围后的</w:t>
      </w:r>
      <w:r>
        <w:t>1</w:t>
      </w:r>
      <w:r>
        <w:rPr>
          <w:rFonts w:hint="eastAsia"/>
        </w:rPr>
        <w:t>min到</w:t>
      </w:r>
      <w:r>
        <w:t>5min</w:t>
      </w:r>
      <w:r>
        <w:rPr>
          <w:rFonts w:hint="eastAsia"/>
        </w:rPr>
        <w:t>（具体时间可设置），并网逆变器应恢复向电网供电。</w:t>
      </w:r>
    </w:p>
    <w:p w14:paraId="08AE0948">
      <w:pPr>
        <w:pStyle w:val="24"/>
        <w:numPr>
          <w:ilvl w:val="4"/>
          <w:numId w:val="5"/>
        </w:numPr>
      </w:pPr>
      <w:r>
        <w:rPr>
          <w:rFonts w:hint="eastAsia"/>
        </w:rPr>
        <w:t>反放电保护</w:t>
      </w:r>
    </w:p>
    <w:p w14:paraId="17A6D72A">
      <w:pPr>
        <w:pStyle w:val="25"/>
        <w:ind w:firstLine="480"/>
      </w:pPr>
      <w:r>
        <w:rPr>
          <w:rFonts w:hint="eastAsia"/>
        </w:rPr>
        <w:t>当并网逆变器直流侧电压低于允许工作范围或逆变器处于关机状态时，并网逆变器应无反向电流流过。</w:t>
      </w:r>
    </w:p>
    <w:p w14:paraId="76992F16">
      <w:pPr>
        <w:pStyle w:val="24"/>
        <w:numPr>
          <w:ilvl w:val="4"/>
          <w:numId w:val="5"/>
        </w:numPr>
      </w:pPr>
      <w:r>
        <w:rPr>
          <w:rFonts w:hint="eastAsia"/>
        </w:rPr>
        <w:t>极性反接保护</w:t>
      </w:r>
    </w:p>
    <w:p w14:paraId="6DB04E1C">
      <w:pPr>
        <w:pStyle w:val="25"/>
        <w:ind w:firstLine="480"/>
      </w:pPr>
      <w:r>
        <w:rPr>
          <w:rFonts w:hint="eastAsia"/>
        </w:rPr>
        <w:t>当光伏直流输入极性反接时，并网逆变器应能可靠保护而不会损坏。极性正接后，并网逆变器应能正常工作。</w:t>
      </w:r>
    </w:p>
    <w:p w14:paraId="1FB17066">
      <w:pPr>
        <w:pStyle w:val="24"/>
        <w:numPr>
          <w:ilvl w:val="4"/>
          <w:numId w:val="5"/>
        </w:numPr>
      </w:pPr>
      <w:r>
        <w:rPr>
          <w:rFonts w:hint="eastAsia"/>
        </w:rPr>
        <w:t>电网过</w:t>
      </w:r>
      <w:r>
        <w:t>/</w:t>
      </w:r>
      <w:r>
        <w:rPr>
          <w:rFonts w:hint="eastAsia"/>
        </w:rPr>
        <w:t>欠压、过</w:t>
      </w:r>
      <w:r>
        <w:t>/</w:t>
      </w:r>
      <w:r>
        <w:rPr>
          <w:rFonts w:hint="eastAsia"/>
        </w:rPr>
        <w:t>欠频保护</w:t>
      </w:r>
    </w:p>
    <w:p w14:paraId="7531C601">
      <w:pPr>
        <w:pStyle w:val="25"/>
        <w:ind w:firstLine="480"/>
      </w:pPr>
      <w:r>
        <w:rPr>
          <w:rFonts w:hint="eastAsia"/>
        </w:rPr>
        <w:t>在并网逆变器的交流输出侧，并网逆变器应能够准确判断供电电网（接线）的过</w:t>
      </w:r>
      <w:r>
        <w:t>/</w:t>
      </w:r>
      <w:r>
        <w:rPr>
          <w:rFonts w:hint="eastAsia"/>
        </w:rPr>
        <w:t>欠压，过</w:t>
      </w:r>
      <w:r>
        <w:t>/</w:t>
      </w:r>
      <w:r>
        <w:rPr>
          <w:rFonts w:hint="eastAsia"/>
        </w:rPr>
        <w:t>欠频等异常状态，按照电网公司的相关要求进行保护。</w:t>
      </w:r>
    </w:p>
    <w:p w14:paraId="1186031C">
      <w:pPr>
        <w:pStyle w:val="24"/>
        <w:numPr>
          <w:ilvl w:val="4"/>
          <w:numId w:val="5"/>
        </w:numPr>
      </w:pPr>
      <w:r>
        <w:rPr>
          <w:rFonts w:hint="eastAsia"/>
        </w:rPr>
        <w:t>电网相序保护</w:t>
      </w:r>
    </w:p>
    <w:p w14:paraId="5D320EA1">
      <w:pPr>
        <w:pStyle w:val="25"/>
        <w:ind w:firstLine="480"/>
      </w:pPr>
      <w:r>
        <w:rPr>
          <w:rFonts w:hint="eastAsia"/>
        </w:rPr>
        <w:t>并网逆变器必须具备电网相序检测功能，当连接到逆变器的电网电压是负序电压时逆变器必须停机并报警或通过逆变器内部调整向电网注入正序正弦波电流。并网逆变器支持三相线缆无序连接，并自动适应电网相序。任何情况下，并网逆变器都不能向电网注入负序电流。</w:t>
      </w:r>
      <w:r>
        <w:br w:type="page"/>
      </w:r>
    </w:p>
    <w:p w14:paraId="64681EF0">
      <w:pPr>
        <w:pStyle w:val="24"/>
        <w:numPr>
          <w:ilvl w:val="4"/>
          <w:numId w:val="5"/>
        </w:numPr>
      </w:pPr>
      <w:r>
        <w:rPr>
          <w:rFonts w:hint="eastAsia"/>
        </w:rPr>
        <w:t>频率适应性</w:t>
      </w:r>
    </w:p>
    <w:p w14:paraId="32FF9987">
      <w:pPr>
        <w:pStyle w:val="25"/>
        <w:ind w:firstLine="480"/>
      </w:pPr>
      <w:r>
        <w:rPr>
          <w:rFonts w:hint="eastAsia"/>
        </w:rPr>
        <w:t>光伏并网逆变器应能在下表所示的交流侧频率范围内按规定运行。</w:t>
      </w:r>
    </w:p>
    <w:p w14:paraId="14A21701">
      <w:pPr>
        <w:pStyle w:val="26"/>
        <w:numPr>
          <w:ilvl w:val="8"/>
          <w:numId w:val="5"/>
        </w:numPr>
      </w:pPr>
      <w:r>
        <w:rPr>
          <w:rFonts w:hint="eastAsia"/>
        </w:rPr>
        <w:t>频率适应性要求</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4820"/>
      </w:tblGrid>
      <w:tr w14:paraId="5A49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1" w:type="dxa"/>
          </w:tcPr>
          <w:p w14:paraId="27DBF7CA">
            <w:pPr>
              <w:pStyle w:val="27"/>
            </w:pPr>
            <w:r>
              <w:t>频率范围</w:t>
            </w:r>
          </w:p>
        </w:tc>
        <w:tc>
          <w:tcPr>
            <w:tcW w:w="4820" w:type="dxa"/>
          </w:tcPr>
          <w:p w14:paraId="3CBDD966">
            <w:pPr>
              <w:pStyle w:val="27"/>
            </w:pPr>
            <w:r>
              <w:t>运行要求</w:t>
            </w:r>
          </w:p>
        </w:tc>
      </w:tr>
      <w:tr w14:paraId="0CD7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1816BD4">
            <w:pPr>
              <w:pStyle w:val="28"/>
            </w:pPr>
            <w:r>
              <w:t>f＜46.5Hz</w:t>
            </w:r>
          </w:p>
        </w:tc>
        <w:tc>
          <w:tcPr>
            <w:tcW w:w="4820" w:type="dxa"/>
          </w:tcPr>
          <w:p w14:paraId="3D12947C">
            <w:pPr>
              <w:pStyle w:val="28"/>
            </w:pPr>
            <w:r>
              <w:t>根据逆变器允许运行的最低频率而定</w:t>
            </w:r>
          </w:p>
        </w:tc>
      </w:tr>
      <w:tr w14:paraId="6FAE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4B9F7CE">
            <w:pPr>
              <w:pStyle w:val="28"/>
            </w:pPr>
            <w:r>
              <w:t>46.5Hz</w:t>
            </w:r>
            <w:r>
              <w:rPr>
                <w:rFonts w:hint="eastAsia"/>
              </w:rPr>
              <w:t>≤</w:t>
            </w:r>
            <w:r>
              <w:t>f＜47.0Hz</w:t>
            </w:r>
          </w:p>
        </w:tc>
        <w:tc>
          <w:tcPr>
            <w:tcW w:w="4820" w:type="dxa"/>
          </w:tcPr>
          <w:p w14:paraId="5D64661D">
            <w:pPr>
              <w:pStyle w:val="28"/>
            </w:pPr>
            <w:r>
              <w:t>频率每次低于47.0Hz，至少运行5s</w:t>
            </w:r>
          </w:p>
        </w:tc>
      </w:tr>
      <w:tr w14:paraId="1E49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A643A80">
            <w:pPr>
              <w:pStyle w:val="28"/>
            </w:pPr>
            <w:r>
              <w:t>47.0Hz</w:t>
            </w:r>
            <w:r>
              <w:rPr>
                <w:rFonts w:hint="eastAsia"/>
              </w:rPr>
              <w:t>≤f</w:t>
            </w:r>
            <w:r>
              <w:t>＜47.5Hz</w:t>
            </w:r>
          </w:p>
        </w:tc>
        <w:tc>
          <w:tcPr>
            <w:tcW w:w="4820" w:type="dxa"/>
          </w:tcPr>
          <w:p w14:paraId="4224F147">
            <w:pPr>
              <w:pStyle w:val="28"/>
            </w:pPr>
            <w:r>
              <w:t>频率每次低于47.5Hz，至少运行20s</w:t>
            </w:r>
          </w:p>
        </w:tc>
      </w:tr>
      <w:tr w14:paraId="7C4A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496CA19">
            <w:pPr>
              <w:pStyle w:val="28"/>
            </w:pPr>
            <w:r>
              <w:t>47.5Hz</w:t>
            </w:r>
            <w:r>
              <w:rPr>
                <w:rFonts w:hint="eastAsia"/>
              </w:rPr>
              <w:t>≤f</w:t>
            </w:r>
            <w:r>
              <w:t>＜48Hz</w:t>
            </w:r>
          </w:p>
        </w:tc>
        <w:tc>
          <w:tcPr>
            <w:tcW w:w="4820" w:type="dxa"/>
          </w:tcPr>
          <w:p w14:paraId="57D4082F">
            <w:pPr>
              <w:pStyle w:val="28"/>
            </w:pPr>
            <w:r>
              <w:t>频率每次低于48.0Hz，至少运行1min</w:t>
            </w:r>
          </w:p>
        </w:tc>
      </w:tr>
      <w:tr w14:paraId="271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C4802D1">
            <w:pPr>
              <w:pStyle w:val="28"/>
            </w:pPr>
            <w:r>
              <w:t>48.0Hz</w:t>
            </w:r>
            <w:r>
              <w:rPr>
                <w:rFonts w:hint="eastAsia"/>
              </w:rPr>
              <w:t>≤f</w:t>
            </w:r>
            <w:r>
              <w:t>＜48.5Hz</w:t>
            </w:r>
          </w:p>
        </w:tc>
        <w:tc>
          <w:tcPr>
            <w:tcW w:w="4820" w:type="dxa"/>
          </w:tcPr>
          <w:p w14:paraId="51A0F640">
            <w:pPr>
              <w:pStyle w:val="28"/>
            </w:pPr>
            <w:r>
              <w:t>频率每次低于48.5Hz，至少运行5min</w:t>
            </w:r>
          </w:p>
        </w:tc>
      </w:tr>
      <w:tr w14:paraId="2DDA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C89A7B6">
            <w:pPr>
              <w:pStyle w:val="28"/>
            </w:pPr>
            <w:r>
              <w:t>48.5Hz</w:t>
            </w:r>
            <w:r>
              <w:rPr>
                <w:rFonts w:hint="eastAsia"/>
              </w:rPr>
              <w:t>≤f≤</w:t>
            </w:r>
            <w:r>
              <w:t>50.5Hz</w:t>
            </w:r>
          </w:p>
        </w:tc>
        <w:tc>
          <w:tcPr>
            <w:tcW w:w="4820" w:type="dxa"/>
          </w:tcPr>
          <w:p w14:paraId="07F3C50A">
            <w:pPr>
              <w:pStyle w:val="28"/>
            </w:pPr>
            <w:r>
              <w:t>连续运行</w:t>
            </w:r>
          </w:p>
        </w:tc>
      </w:tr>
      <w:tr w14:paraId="7A83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F261AE0">
            <w:pPr>
              <w:pStyle w:val="28"/>
            </w:pPr>
            <w:r>
              <w:t>50.5Hz＜</w:t>
            </w:r>
            <w:r>
              <w:rPr>
                <w:rFonts w:hint="eastAsia"/>
              </w:rPr>
              <w:t>f≤</w:t>
            </w:r>
            <w:r>
              <w:t>51.0Hz</w:t>
            </w:r>
          </w:p>
        </w:tc>
        <w:tc>
          <w:tcPr>
            <w:tcW w:w="4820" w:type="dxa"/>
          </w:tcPr>
          <w:p w14:paraId="33E1DA5E">
            <w:pPr>
              <w:pStyle w:val="28"/>
            </w:pPr>
            <w:r>
              <w:t>频率每次高于50.5Hz，至少运行3min</w:t>
            </w:r>
          </w:p>
        </w:tc>
      </w:tr>
      <w:tr w14:paraId="4A3D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13122037">
            <w:pPr>
              <w:pStyle w:val="28"/>
            </w:pPr>
            <w:r>
              <w:t>51.0Hz＜</w:t>
            </w:r>
            <w:r>
              <w:rPr>
                <w:rFonts w:hint="eastAsia"/>
              </w:rPr>
              <w:t>f≤</w:t>
            </w:r>
            <w:r>
              <w:t>51.5Hz</w:t>
            </w:r>
          </w:p>
        </w:tc>
        <w:tc>
          <w:tcPr>
            <w:tcW w:w="4820" w:type="dxa"/>
          </w:tcPr>
          <w:p w14:paraId="396A9E0B">
            <w:pPr>
              <w:pStyle w:val="28"/>
            </w:pPr>
            <w:r>
              <w:t>频率每次高于51.0Hz，至少运行30s</w:t>
            </w:r>
          </w:p>
        </w:tc>
      </w:tr>
      <w:tr w14:paraId="1B8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564A05E">
            <w:pPr>
              <w:pStyle w:val="28"/>
            </w:pPr>
            <w:r>
              <w:rPr>
                <w:rFonts w:hint="eastAsia"/>
              </w:rPr>
              <w:t>f</w:t>
            </w:r>
            <w:r>
              <w:t>＞51.5Hz</w:t>
            </w:r>
          </w:p>
        </w:tc>
        <w:tc>
          <w:tcPr>
            <w:tcW w:w="4820" w:type="dxa"/>
          </w:tcPr>
          <w:p w14:paraId="40691CF3">
            <w:pPr>
              <w:pStyle w:val="28"/>
            </w:pPr>
            <w:r>
              <w:t>根据逆变器允许运行的最高频率而定</w:t>
            </w:r>
          </w:p>
        </w:tc>
      </w:tr>
    </w:tbl>
    <w:p w14:paraId="34DFF61B">
      <w:pPr>
        <w:pStyle w:val="24"/>
        <w:numPr>
          <w:ilvl w:val="4"/>
          <w:numId w:val="5"/>
        </w:numPr>
      </w:pPr>
      <w:r>
        <w:rPr>
          <w:rFonts w:hint="eastAsia"/>
        </w:rPr>
        <w:t>电压适应性</w:t>
      </w:r>
    </w:p>
    <w:p w14:paraId="0EF1460C">
      <w:pPr>
        <w:pStyle w:val="25"/>
        <w:ind w:firstLine="480"/>
      </w:pPr>
      <w:r>
        <w:rPr>
          <w:rFonts w:hint="eastAsia"/>
        </w:rPr>
        <w:t>在</w:t>
      </w:r>
      <w:r>
        <w:t>90%~110%</w:t>
      </w:r>
      <w:r>
        <w:rPr>
          <w:rFonts w:hint="eastAsia"/>
        </w:rPr>
        <w:t>额定电网电压下，并网逆变器应能连续运行。</w:t>
      </w:r>
    </w:p>
    <w:p w14:paraId="591904D6">
      <w:pPr>
        <w:pStyle w:val="24"/>
        <w:numPr>
          <w:ilvl w:val="4"/>
          <w:numId w:val="5"/>
        </w:numPr>
      </w:pPr>
      <w:r>
        <w:rPr>
          <w:rFonts w:hint="eastAsia"/>
        </w:rPr>
        <w:t>低电压穿越</w:t>
      </w:r>
    </w:p>
    <w:p w14:paraId="3498E2E0">
      <w:pPr>
        <w:pStyle w:val="25"/>
        <w:ind w:firstLine="480"/>
      </w:pPr>
      <w:r>
        <w:rPr>
          <w:rFonts w:hint="eastAsia"/>
        </w:rPr>
        <w:t>逆变器低电穿越能力应满足如下要求，考核曲线如图</w:t>
      </w:r>
      <w:r>
        <w:t>1</w:t>
      </w:r>
      <w:r>
        <w:rPr>
          <w:rFonts w:hint="eastAsia"/>
        </w:rPr>
        <w:t>所示。</w:t>
      </w:r>
    </w:p>
    <w:p w14:paraId="2EADDD67">
      <w:pPr>
        <w:pStyle w:val="34"/>
      </w:pPr>
      <w:r>
        <w:object>
          <v:shape id="_x0000_i1025" o:spt="75" type="#_x0000_t75" style="height:196.2pt;width:313.8pt;" o:ole="t" filled="f" o:preferrelative="t" stroked="f" coordsize="21600,21600">
            <v:path/>
            <v:fill on="f" focussize="0,0"/>
            <v:stroke on="f" joinstyle="miter"/>
            <v:imagedata r:id="rId16" cropleft="3294f" croptop="1287f" cropright="25933f" cropbottom="20537f" o:title=""/>
            <o:lock v:ext="edit" aspectratio="t"/>
            <w10:wrap type="none"/>
            <w10:anchorlock/>
          </v:shape>
          <o:OLEObject Type="Embed" ProgID="Visio.Drawing.15" ShapeID="_x0000_i1025" DrawAspect="Content" ObjectID="_1468075725" r:id="rId15">
            <o:LockedField>false</o:LockedField>
          </o:OLEObject>
        </w:object>
      </w:r>
    </w:p>
    <w:p w14:paraId="08893ED6">
      <w:pPr>
        <w:pStyle w:val="35"/>
        <w:numPr>
          <w:ilvl w:val="7"/>
          <w:numId w:val="5"/>
        </w:numPr>
      </w:pPr>
      <w:r>
        <w:rPr>
          <w:rFonts w:hint="eastAsia"/>
        </w:rPr>
        <w:t>低电压穿越能力要求</w:t>
      </w:r>
    </w:p>
    <w:p w14:paraId="48EEB9EF">
      <w:pPr>
        <w:pStyle w:val="36"/>
        <w:numPr>
          <w:ilvl w:val="5"/>
          <w:numId w:val="5"/>
        </w:numPr>
        <w:ind w:firstLine="480" w:firstLineChars="200"/>
      </w:pPr>
      <w:r>
        <w:rPr>
          <w:rFonts w:hint="eastAsia"/>
        </w:rPr>
        <w:t>当电网发生故障或扰动引起测试点电压降低时，逆变器并网点各线电压（相电压）在图</w:t>
      </w:r>
      <w:r>
        <w:t>1</w:t>
      </w:r>
      <w:r>
        <w:rPr>
          <w:rFonts w:hint="eastAsia"/>
        </w:rPr>
        <w:t>中电压轮廓线及以上的区域内时，逆变器必须保证不脱网连续运行；否则，允许逆变器切出；</w:t>
      </w:r>
    </w:p>
    <w:p w14:paraId="095FF313">
      <w:pPr>
        <w:pStyle w:val="36"/>
        <w:numPr>
          <w:ilvl w:val="5"/>
          <w:numId w:val="5"/>
        </w:numPr>
        <w:ind w:firstLine="480" w:firstLineChars="200"/>
      </w:pPr>
      <w:r>
        <w:rPr>
          <w:rFonts w:hint="eastAsia"/>
        </w:rPr>
        <w:t>光伏发电站并网点电压跌至</w:t>
      </w:r>
      <w:r>
        <w:t>0</w:t>
      </w:r>
      <w:r>
        <w:rPr>
          <w:rFonts w:hint="eastAsia"/>
        </w:rPr>
        <w:t>时，逆变器应能不脱网连续运行</w:t>
      </w:r>
      <w:r>
        <w:t>0.15s</w:t>
      </w:r>
      <w:r>
        <w:rPr>
          <w:rFonts w:hint="eastAsia"/>
        </w:rPr>
        <w:t>；</w:t>
      </w:r>
    </w:p>
    <w:p w14:paraId="40FCCCEF">
      <w:pPr>
        <w:pStyle w:val="36"/>
        <w:numPr>
          <w:ilvl w:val="5"/>
          <w:numId w:val="5"/>
        </w:numPr>
        <w:ind w:firstLine="480" w:firstLineChars="200"/>
      </w:pPr>
      <w:r>
        <w:rPr>
          <w:rFonts w:hint="eastAsia"/>
        </w:rPr>
        <w:t>光伏发电站并网点电压跌至</w:t>
      </w:r>
      <w:r>
        <w:t>20%</w:t>
      </w:r>
      <w:r>
        <w:rPr>
          <w:rFonts w:hint="eastAsia"/>
        </w:rPr>
        <w:t>额定电压时，逆变器应能不脱网连续运行</w:t>
      </w:r>
      <w:r>
        <w:t>0.625s</w:t>
      </w:r>
      <w:r>
        <w:rPr>
          <w:rFonts w:hint="eastAsia"/>
        </w:rPr>
        <w:t>；</w:t>
      </w:r>
    </w:p>
    <w:p w14:paraId="3D4ECD08">
      <w:pPr>
        <w:pStyle w:val="36"/>
        <w:numPr>
          <w:ilvl w:val="5"/>
          <w:numId w:val="5"/>
        </w:numPr>
        <w:ind w:firstLine="480" w:firstLineChars="200"/>
      </w:pPr>
      <w:r>
        <w:rPr>
          <w:rFonts w:hint="eastAsia"/>
        </w:rPr>
        <w:t>光伏发电站并网点电压跌至图</w:t>
      </w:r>
      <w:r>
        <w:t>1</w:t>
      </w:r>
      <w:r>
        <w:rPr>
          <w:rFonts w:hint="eastAsia"/>
        </w:rPr>
        <w:t>的电网轮廓线以下时，逆变器可以从电网切出。</w:t>
      </w:r>
    </w:p>
    <w:p w14:paraId="62BAAB3D">
      <w:pPr>
        <w:pStyle w:val="36"/>
        <w:numPr>
          <w:ilvl w:val="5"/>
          <w:numId w:val="5"/>
        </w:numPr>
        <w:ind w:firstLine="480" w:firstLineChars="200"/>
      </w:pPr>
      <w:r>
        <w:rPr>
          <w:rFonts w:hint="eastAsia"/>
        </w:rPr>
        <w:t>并网逆变器需满足符合</w:t>
      </w:r>
      <w:r>
        <w:t>GB/T 19964-2024</w:t>
      </w:r>
      <w:r>
        <w:rPr>
          <w:rFonts w:hint="eastAsia"/>
        </w:rPr>
        <w:t>国家标准的低电压穿越能力要求，并提供相关检验报告。</w:t>
      </w:r>
    </w:p>
    <w:p w14:paraId="37E338BB">
      <w:pPr>
        <w:pStyle w:val="24"/>
        <w:numPr>
          <w:ilvl w:val="4"/>
          <w:numId w:val="5"/>
        </w:numPr>
      </w:pPr>
      <w:r>
        <w:rPr>
          <w:rFonts w:hint="eastAsia"/>
        </w:rPr>
        <w:t>高电压穿越</w:t>
      </w:r>
    </w:p>
    <w:p w14:paraId="7C622E3B">
      <w:pPr>
        <w:pStyle w:val="25"/>
        <w:ind w:firstLine="480"/>
      </w:pPr>
      <w:r>
        <w:rPr>
          <w:rFonts w:hint="eastAsia"/>
        </w:rPr>
        <w:t>逆变器高电穿越能力应满足如下要求，考核曲线如图</w:t>
      </w:r>
      <w:r>
        <w:t>2</w:t>
      </w:r>
      <w:r>
        <w:rPr>
          <w:rFonts w:hint="eastAsia"/>
        </w:rPr>
        <w:t>所示。</w:t>
      </w:r>
    </w:p>
    <w:p w14:paraId="2FFA0631">
      <w:pPr>
        <w:pStyle w:val="34"/>
      </w:pPr>
      <w:r>
        <w:object>
          <v:shape id="_x0000_i1026" o:spt="75" type="#_x0000_t75" style="height:231pt;width:324pt;" o:ole="t" filled="f" o:preferrelative="t" stroked="f" coordsize="21600,21600">
            <v:path/>
            <v:fill on="f" focussize="0,0"/>
            <v:stroke on="f" joinstyle="miter"/>
            <v:imagedata r:id="rId18" cropleft="2313f" cropright="26067f" cropbottom="21776f" o:title=""/>
            <o:lock v:ext="edit" aspectratio="t"/>
            <w10:wrap type="none"/>
            <w10:anchorlock/>
          </v:shape>
          <o:OLEObject Type="Embed" ProgID="Visio.Drawing.15" ShapeID="_x0000_i1026" DrawAspect="Content" ObjectID="_1468075726" r:id="rId17">
            <o:LockedField>false</o:LockedField>
          </o:OLEObject>
        </w:object>
      </w:r>
    </w:p>
    <w:p w14:paraId="3C19B8C1">
      <w:pPr>
        <w:pStyle w:val="35"/>
        <w:numPr>
          <w:ilvl w:val="7"/>
          <w:numId w:val="5"/>
        </w:numPr>
      </w:pPr>
      <w:r>
        <w:rPr>
          <w:rFonts w:hint="eastAsia"/>
        </w:rPr>
        <w:t>高电压穿越能力要求</w:t>
      </w:r>
    </w:p>
    <w:p w14:paraId="4FB3A4F5">
      <w:pPr>
        <w:pStyle w:val="36"/>
        <w:numPr>
          <w:ilvl w:val="5"/>
          <w:numId w:val="5"/>
        </w:numPr>
        <w:ind w:firstLine="480" w:firstLineChars="200"/>
      </w:pPr>
      <w:r>
        <w:rPr>
          <w:rFonts w:hint="eastAsia"/>
        </w:rPr>
        <w:t>当电网发生故障或扰动引起测试点电压升高时，逆变器并网点各线电压（相电压）在图</w:t>
      </w:r>
      <w:r>
        <w:t>2</w:t>
      </w:r>
      <w:r>
        <w:rPr>
          <w:rFonts w:hint="eastAsia"/>
        </w:rPr>
        <w:t>中电压轮廓线及以下的区域内时，逆变器必须保证不脱网连续运行；否则，允许逆变器切出；</w:t>
      </w:r>
    </w:p>
    <w:p w14:paraId="3C764701">
      <w:pPr>
        <w:pStyle w:val="36"/>
        <w:numPr>
          <w:ilvl w:val="5"/>
          <w:numId w:val="5"/>
        </w:numPr>
        <w:ind w:firstLine="480" w:firstLineChars="200"/>
      </w:pPr>
      <w:r>
        <w:rPr>
          <w:rFonts w:hint="eastAsia"/>
        </w:rPr>
        <w:t>光伏发电站并网点电压上升至</w:t>
      </w:r>
      <w:r>
        <w:t>125%</w:t>
      </w:r>
      <w:r>
        <w:rPr>
          <w:rFonts w:hint="eastAsia"/>
        </w:rPr>
        <w:t>以上额定电压至</w:t>
      </w:r>
      <w:r>
        <w:t>130%</w:t>
      </w:r>
      <w:r>
        <w:rPr>
          <w:rFonts w:hint="eastAsia"/>
        </w:rPr>
        <w:t>额定电压时，逆变器应能够保证不脱网连续运行</w:t>
      </w:r>
      <w:r>
        <w:t>0.5s</w:t>
      </w:r>
      <w:r>
        <w:rPr>
          <w:rFonts w:hint="eastAsia"/>
        </w:rPr>
        <w:t>的能力；</w:t>
      </w:r>
    </w:p>
    <w:p w14:paraId="1375B138">
      <w:pPr>
        <w:pStyle w:val="36"/>
        <w:numPr>
          <w:ilvl w:val="5"/>
          <w:numId w:val="5"/>
        </w:numPr>
        <w:ind w:firstLine="480" w:firstLineChars="200"/>
      </w:pPr>
      <w:r>
        <w:rPr>
          <w:rFonts w:hint="eastAsia"/>
        </w:rPr>
        <w:t>光伏发电站并网点电压上升至</w:t>
      </w:r>
      <w:r>
        <w:t>120%</w:t>
      </w:r>
      <w:r>
        <w:rPr>
          <w:rFonts w:hint="eastAsia"/>
        </w:rPr>
        <w:t>以上额定电压至</w:t>
      </w:r>
      <w:r>
        <w:t>125%</w:t>
      </w:r>
      <w:r>
        <w:rPr>
          <w:rFonts w:hint="eastAsia"/>
        </w:rPr>
        <w:t>额定电压时，逆变器应能够保证不脱网连续运行</w:t>
      </w:r>
      <w:r>
        <w:t>1s</w:t>
      </w:r>
      <w:r>
        <w:rPr>
          <w:rFonts w:hint="eastAsia"/>
        </w:rPr>
        <w:t>的能力</w:t>
      </w:r>
    </w:p>
    <w:p w14:paraId="251C608D">
      <w:pPr>
        <w:pStyle w:val="36"/>
        <w:numPr>
          <w:ilvl w:val="5"/>
          <w:numId w:val="5"/>
        </w:numPr>
        <w:ind w:firstLine="480" w:firstLineChars="200"/>
      </w:pPr>
      <w:r>
        <w:rPr>
          <w:rFonts w:hint="eastAsia"/>
        </w:rPr>
        <w:t>光伏发电站并网点电压上升至</w:t>
      </w:r>
      <w:r>
        <w:t>110%</w:t>
      </w:r>
      <w:r>
        <w:rPr>
          <w:rFonts w:hint="eastAsia"/>
        </w:rPr>
        <w:t>以上额定电压至</w:t>
      </w:r>
      <w:r>
        <w:t>120%</w:t>
      </w:r>
      <w:r>
        <w:rPr>
          <w:rFonts w:hint="eastAsia"/>
        </w:rPr>
        <w:t>额定电压时，逆变器应能够保证不脱网连续运行</w:t>
      </w:r>
      <w:r>
        <w:t>10s</w:t>
      </w:r>
      <w:r>
        <w:rPr>
          <w:rFonts w:hint="eastAsia"/>
        </w:rPr>
        <w:t>的能力；</w:t>
      </w:r>
    </w:p>
    <w:p w14:paraId="4CB0C555">
      <w:pPr>
        <w:pStyle w:val="36"/>
        <w:numPr>
          <w:ilvl w:val="5"/>
          <w:numId w:val="5"/>
        </w:numPr>
        <w:ind w:firstLine="480" w:firstLineChars="200"/>
      </w:pPr>
      <w:r>
        <w:rPr>
          <w:rFonts w:hint="eastAsia"/>
        </w:rPr>
        <w:t>光伏发电站并网点电压上升至图</w:t>
      </w:r>
      <w:r>
        <w:t>2</w:t>
      </w:r>
      <w:r>
        <w:rPr>
          <w:rFonts w:hint="eastAsia"/>
        </w:rPr>
        <w:t>的电网轮廓线以上时，逆变器可以从电网切出。</w:t>
      </w:r>
    </w:p>
    <w:p w14:paraId="4BBAC493">
      <w:pPr>
        <w:pStyle w:val="25"/>
        <w:ind w:firstLine="480"/>
      </w:pPr>
      <w:r>
        <w:rPr>
          <w:rFonts w:hint="eastAsia"/>
        </w:rPr>
        <w:t>并网逆变器满足符合</w:t>
      </w:r>
      <w:r>
        <w:t>GB/T 19964-2024</w:t>
      </w:r>
      <w:r>
        <w:rPr>
          <w:rFonts w:hint="eastAsia"/>
        </w:rPr>
        <w:t>国家标准的高电压穿越能力要求。</w:t>
      </w:r>
    </w:p>
    <w:p w14:paraId="76E3DB26">
      <w:pPr>
        <w:pStyle w:val="24"/>
        <w:numPr>
          <w:ilvl w:val="4"/>
          <w:numId w:val="5"/>
        </w:numPr>
      </w:pPr>
      <w:r>
        <w:rPr>
          <w:rFonts w:hint="eastAsia"/>
        </w:rPr>
        <w:t>一次调频功能</w:t>
      </w:r>
    </w:p>
    <w:p w14:paraId="5B67D42D">
      <w:pPr>
        <w:pStyle w:val="25"/>
        <w:ind w:firstLine="480"/>
      </w:pPr>
      <w:r>
        <w:rPr>
          <w:rFonts w:hint="eastAsia"/>
        </w:rPr>
        <w:t>中标后按照电网公司要求，可配置一次调频功能。</w:t>
      </w:r>
    </w:p>
    <w:p w14:paraId="73F74BCE">
      <w:pPr>
        <w:pStyle w:val="24"/>
        <w:numPr>
          <w:ilvl w:val="4"/>
          <w:numId w:val="5"/>
        </w:numPr>
      </w:pPr>
      <w:r>
        <w:rPr>
          <w:rFonts w:hint="eastAsia"/>
        </w:rPr>
        <w:t xml:space="preserve">有功、无功控制   </w:t>
      </w:r>
    </w:p>
    <w:p w14:paraId="74DF5801">
      <w:pPr>
        <w:pStyle w:val="24"/>
        <w:numPr>
          <w:ilvl w:val="0"/>
          <w:numId w:val="0"/>
        </w:numPr>
        <w:ind w:firstLine="480" w:firstLineChars="200"/>
        <w:rPr>
          <w:rFonts w:hint="eastAsia" w:eastAsia="宋体"/>
          <w:i/>
          <w:iCs/>
          <w:color w:val="FF0000"/>
          <w:lang w:eastAsia="zh-CN"/>
        </w:rPr>
      </w:pPr>
      <w:r>
        <w:rPr>
          <w:rStyle w:val="32"/>
          <w:rFonts w:hint="eastAsia"/>
        </w:rPr>
        <w:t>逆变器必须具备有功功率和无功功率控制功能</w:t>
      </w:r>
      <w:r>
        <w:rPr>
          <w:rStyle w:val="32"/>
          <w:rFonts w:hint="eastAsia"/>
          <w:lang w:eastAsia="zh-CN"/>
        </w:rPr>
        <w:t>。</w:t>
      </w:r>
    </w:p>
    <w:p w14:paraId="6A3361AD">
      <w:pPr>
        <w:pStyle w:val="24"/>
        <w:numPr>
          <w:ilvl w:val="4"/>
          <w:numId w:val="5"/>
        </w:numPr>
      </w:pPr>
      <w:r>
        <w:rPr>
          <w:rFonts w:hint="eastAsia"/>
        </w:rPr>
        <w:t>直流输入过压、过流保护</w:t>
      </w:r>
    </w:p>
    <w:p w14:paraId="50372BB3">
      <w:pPr>
        <w:pStyle w:val="25"/>
        <w:ind w:firstLine="480"/>
      </w:pPr>
      <w:r>
        <w:rPr>
          <w:rFonts w:hint="eastAsia"/>
        </w:rPr>
        <w:t>并网逆变器必须具备完备的直流过压、过流保护功能。</w:t>
      </w:r>
    </w:p>
    <w:p w14:paraId="6F94438C">
      <w:pPr>
        <w:pStyle w:val="24"/>
        <w:numPr>
          <w:ilvl w:val="4"/>
          <w:numId w:val="5"/>
        </w:numPr>
      </w:pPr>
      <w:r>
        <w:rPr>
          <w:rFonts w:hint="eastAsia"/>
        </w:rPr>
        <w:t>内部短路保护</w:t>
      </w:r>
    </w:p>
    <w:p w14:paraId="25F043AD">
      <w:pPr>
        <w:pStyle w:val="25"/>
        <w:ind w:firstLine="480"/>
      </w:pPr>
      <w:r>
        <w:rPr>
          <w:rFonts w:hint="eastAsia"/>
        </w:rPr>
        <w:t>当并网逆变器内部发生短路时（如</w:t>
      </w:r>
      <w:r>
        <w:t>IGBT</w:t>
      </w:r>
      <w:r>
        <w:rPr>
          <w:rFonts w:hint="eastAsia"/>
        </w:rPr>
        <w:t>直通、直流母线短路等），逆变器内的电子电路和输出继电器应快速、可靠动作。</w:t>
      </w:r>
    </w:p>
    <w:p w14:paraId="0D611A65">
      <w:pPr>
        <w:pStyle w:val="24"/>
        <w:numPr>
          <w:ilvl w:val="4"/>
          <w:numId w:val="5"/>
        </w:numPr>
      </w:pPr>
      <w:r>
        <w:rPr>
          <w:rFonts w:hint="eastAsia"/>
        </w:rPr>
        <w:t>过热保护</w:t>
      </w:r>
    </w:p>
    <w:p w14:paraId="613E404C">
      <w:pPr>
        <w:pStyle w:val="25"/>
        <w:ind w:firstLine="480"/>
      </w:pPr>
      <w:r>
        <w:rPr>
          <w:rFonts w:hint="eastAsia"/>
        </w:rPr>
        <w:t>并网逆变器应具备机内环境温度过高保护（例如着火引起的机箱内环境温度过高）、机内关键部件温度过高保护功能。</w:t>
      </w:r>
    </w:p>
    <w:p w14:paraId="2C3598E0">
      <w:pPr>
        <w:pStyle w:val="24"/>
        <w:numPr>
          <w:ilvl w:val="4"/>
          <w:numId w:val="5"/>
        </w:numPr>
      </w:pPr>
      <w:r>
        <w:rPr>
          <w:rFonts w:hint="eastAsia"/>
        </w:rPr>
        <w:t>过载保护</w:t>
      </w:r>
    </w:p>
    <w:p w14:paraId="1F36871E">
      <w:pPr>
        <w:pStyle w:val="25"/>
        <w:ind w:firstLine="480"/>
      </w:pPr>
      <w:r>
        <w:rPr>
          <w:rFonts w:hint="eastAsia"/>
        </w:rPr>
        <w:t>当光伏方阵输出的功率超过并网逆变器允许的最大直流输入功率时，并网逆变器应自动限流工作在允许的最大交流输出功率处。</w:t>
      </w:r>
    </w:p>
    <w:p w14:paraId="09EA5727">
      <w:pPr>
        <w:pStyle w:val="24"/>
        <w:numPr>
          <w:ilvl w:val="4"/>
          <w:numId w:val="5"/>
        </w:numPr>
      </w:pPr>
      <w:r>
        <w:rPr>
          <w:rFonts w:hint="eastAsia"/>
        </w:rPr>
        <w:t>防雷保护</w:t>
      </w:r>
    </w:p>
    <w:p w14:paraId="7E1E310E">
      <w:pPr>
        <w:pStyle w:val="25"/>
        <w:ind w:firstLine="480"/>
      </w:pPr>
      <w:r>
        <w:rPr>
          <w:rFonts w:hint="eastAsia"/>
        </w:rPr>
        <w:t>逆变器交直流侧必须具备完备的防雷保护功能，其中交、直流侧应配置</w:t>
      </w:r>
      <w:r>
        <w:t>2</w:t>
      </w:r>
      <w:r>
        <w:rPr>
          <w:rFonts w:hint="eastAsia"/>
        </w:rPr>
        <w:t>级防雷保护器。</w:t>
      </w:r>
    </w:p>
    <w:p w14:paraId="674CE7A3">
      <w:pPr>
        <w:pStyle w:val="24"/>
        <w:numPr>
          <w:ilvl w:val="4"/>
          <w:numId w:val="5"/>
        </w:numPr>
      </w:pPr>
      <w:r>
        <w:rPr>
          <w:rFonts w:hint="eastAsia"/>
        </w:rPr>
        <w:t>防孤岛保护</w:t>
      </w:r>
    </w:p>
    <w:p w14:paraId="21F2475B">
      <w:pPr>
        <w:pStyle w:val="25"/>
        <w:ind w:firstLine="480"/>
      </w:pPr>
      <w:r>
        <w:rPr>
          <w:rFonts w:hint="eastAsia"/>
        </w:rPr>
        <w:t>逆变器应具备防孤岛保护功能，当电网进入非计划性孤岛时，防孤岛保护应在</w:t>
      </w:r>
      <w:r>
        <w:t>2s</w:t>
      </w:r>
      <w:r>
        <w:rPr>
          <w:rFonts w:hint="eastAsia"/>
        </w:rPr>
        <w:t>内动作，将逆变器与电网断开。</w:t>
      </w:r>
    </w:p>
    <w:p w14:paraId="5F7C1183">
      <w:pPr>
        <w:pStyle w:val="29"/>
        <w:numPr>
          <w:ilvl w:val="1"/>
          <w:numId w:val="5"/>
        </w:numPr>
      </w:pPr>
      <w:bookmarkStart w:id="34" w:name="_Toc2297"/>
      <w:bookmarkStart w:id="35" w:name="_Toc113522159"/>
      <w:r>
        <w:rPr>
          <w:rFonts w:hint="eastAsia"/>
        </w:rPr>
        <w:t>通信</w:t>
      </w:r>
      <w:bookmarkEnd w:id="34"/>
      <w:bookmarkEnd w:id="35"/>
    </w:p>
    <w:p w14:paraId="2CE5ECEF">
      <w:pPr>
        <w:pStyle w:val="37"/>
        <w:numPr>
          <w:ilvl w:val="2"/>
          <w:numId w:val="5"/>
        </w:numPr>
      </w:pPr>
      <w:bookmarkStart w:id="36" w:name="_Toc1842"/>
      <w:bookmarkStart w:id="37" w:name="_Toc113522160"/>
      <w:r>
        <w:rPr>
          <w:rFonts w:hint="eastAsia"/>
        </w:rPr>
        <w:t>并网逆变器通信要求</w:t>
      </w:r>
      <w:bookmarkEnd w:id="36"/>
      <w:bookmarkEnd w:id="37"/>
    </w:p>
    <w:p w14:paraId="30155BB4">
      <w:pPr>
        <w:pStyle w:val="25"/>
        <w:ind w:firstLine="480"/>
      </w:pPr>
      <w:r>
        <w:rPr>
          <w:rFonts w:hint="eastAsia"/>
        </w:rPr>
        <w:t>并网逆变器应提供标准的隔离型</w:t>
      </w:r>
      <w:r>
        <w:t>RS485</w:t>
      </w:r>
      <w:r>
        <w:rPr>
          <w:rFonts w:hint="eastAsia"/>
        </w:rPr>
        <w:t>标准通信接口或载波通讯功能。</w:t>
      </w:r>
    </w:p>
    <w:p w14:paraId="3E6BD485">
      <w:pPr>
        <w:pStyle w:val="25"/>
        <w:ind w:firstLine="480"/>
      </w:pPr>
      <w:r>
        <w:rPr>
          <w:rFonts w:hint="eastAsia"/>
        </w:rPr>
        <w:t>并网逆变器成套装置应具备标准的</w:t>
      </w:r>
      <w:r>
        <w:t>RS485</w:t>
      </w:r>
      <w:r>
        <w:rPr>
          <w:rFonts w:hint="eastAsia"/>
        </w:rPr>
        <w:t>通信接口或载波通信功能，并支持</w:t>
      </w:r>
      <w:r>
        <w:t>Modbus TCP</w:t>
      </w:r>
      <w:r>
        <w:rPr>
          <w:rFonts w:hint="eastAsia"/>
        </w:rPr>
        <w:t>协议与上层数据采集器通信，逆变器运行数据由数据采集器上传至监控后台，至少保证每分钟可以刷新一次系统运行数据，故障信息应实时传送，所发信息必须清晰、准确、易理解。</w:t>
      </w:r>
    </w:p>
    <w:p w14:paraId="49C4BAC6">
      <w:pPr>
        <w:pStyle w:val="25"/>
        <w:ind w:firstLine="480"/>
      </w:pPr>
      <w:r>
        <w:rPr>
          <w:rFonts w:hint="eastAsia"/>
        </w:rPr>
        <w:t>并网逆变器内</w:t>
      </w:r>
      <w:r>
        <w:t>RS485</w:t>
      </w:r>
      <w:r>
        <w:rPr>
          <w:rFonts w:hint="eastAsia"/>
        </w:rPr>
        <w:t>信号的有效传输距离不小于</w:t>
      </w:r>
      <w:r>
        <w:t>1000</w:t>
      </w:r>
      <w:r>
        <w:rPr>
          <w:rFonts w:hint="eastAsia"/>
        </w:rPr>
        <w:t>米。</w:t>
      </w:r>
    </w:p>
    <w:p w14:paraId="1B3E0A36">
      <w:pPr>
        <w:pStyle w:val="25"/>
        <w:ind w:firstLine="480"/>
      </w:pPr>
      <w:r>
        <w:rPr>
          <w:rFonts w:hint="eastAsia"/>
        </w:rPr>
        <w:t>并网逆变器应开放通信协议，负责配合监控厂家与数据采集器、监控后台等装置进行数据通信。</w:t>
      </w:r>
    </w:p>
    <w:p w14:paraId="5FCB4761">
      <w:pPr>
        <w:pStyle w:val="25"/>
        <w:ind w:firstLine="480"/>
      </w:pPr>
      <w:r>
        <w:rPr>
          <w:rFonts w:hint="eastAsia"/>
        </w:rPr>
        <w:t>并网逆变器应具备接收电网调度指令并可靠执行的能力，满足买方、电网公司、监控后台提出的所有调度、通讯等功能要求。</w:t>
      </w:r>
    </w:p>
    <w:p w14:paraId="607FBED2">
      <w:pPr>
        <w:pStyle w:val="37"/>
        <w:numPr>
          <w:ilvl w:val="2"/>
          <w:numId w:val="5"/>
        </w:numPr>
      </w:pPr>
      <w:bookmarkStart w:id="38" w:name="_Toc113522161"/>
      <w:bookmarkStart w:id="39" w:name="_Toc18871"/>
      <w:r>
        <w:rPr>
          <w:rFonts w:hint="eastAsia"/>
        </w:rPr>
        <w:t>能量管理单元</w:t>
      </w:r>
      <w:r>
        <w:t>EMU200A</w:t>
      </w:r>
      <w:bookmarkEnd w:id="38"/>
      <w:bookmarkEnd w:id="39"/>
    </w:p>
    <w:p w14:paraId="1060FB72">
      <w:pPr>
        <w:pStyle w:val="25"/>
        <w:ind w:firstLine="480"/>
      </w:pPr>
      <w:r>
        <w:rPr>
          <w:rFonts w:hint="eastAsia"/>
        </w:rPr>
        <w:t>每个光伏子阵配置一台能量管理单元</w:t>
      </w:r>
      <w:r>
        <w:t>EMU200A</w:t>
      </w:r>
      <w:r>
        <w:rPr>
          <w:rFonts w:hint="eastAsia"/>
        </w:rPr>
        <w:t>，以满足逆变器、箱变、电表、环境监测仪和跟踪轴等第三方设备的接入需求，实现光伏系统实时监控、数据采集转发以及电力调度与控制的需求。</w:t>
      </w:r>
    </w:p>
    <w:p w14:paraId="54D0216E">
      <w:pPr>
        <w:pStyle w:val="25"/>
        <w:ind w:firstLine="480"/>
      </w:pPr>
      <w:r>
        <w:t>EMU200A</w:t>
      </w:r>
      <w:r>
        <w:rPr>
          <w:rFonts w:hint="eastAsia"/>
        </w:rPr>
        <w:t>基本参数如下：</w:t>
      </w:r>
    </w:p>
    <w:p w14:paraId="601E24E7">
      <w:pPr>
        <w:pStyle w:val="26"/>
        <w:numPr>
          <w:ilvl w:val="8"/>
          <w:numId w:val="5"/>
        </w:numPr>
      </w:pPr>
      <w:r>
        <w:rPr>
          <w:rFonts w:hint="eastAsia"/>
        </w:rPr>
        <w:t>E</w:t>
      </w:r>
      <w:r>
        <w:t>MU200A</w:t>
      </w:r>
      <w:r>
        <w:rPr>
          <w:rFonts w:hint="eastAsia"/>
        </w:rPr>
        <w:t>基本参数</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1"/>
        <w:gridCol w:w="6222"/>
      </w:tblGrid>
      <w:tr w14:paraId="719A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97" w:type="pct"/>
            <w:shd w:val="clear" w:color="auto" w:fill="auto"/>
            <w:vAlign w:val="center"/>
          </w:tcPr>
          <w:p w14:paraId="419C8FC0">
            <w:pPr>
              <w:pStyle w:val="27"/>
              <w:jc w:val="left"/>
              <w:rPr>
                <w:lang w:val="en-GB"/>
              </w:rPr>
            </w:pPr>
            <w:r>
              <w:rPr>
                <w:lang w:val="en-GB"/>
              </w:rPr>
              <w:t>项目</w:t>
            </w:r>
          </w:p>
        </w:tc>
        <w:tc>
          <w:tcPr>
            <w:tcW w:w="3203" w:type="pct"/>
            <w:shd w:val="clear" w:color="auto" w:fill="auto"/>
            <w:vAlign w:val="center"/>
          </w:tcPr>
          <w:p w14:paraId="2E43943D">
            <w:pPr>
              <w:pStyle w:val="27"/>
              <w:jc w:val="left"/>
              <w:rPr>
                <w:lang w:val="en-GB"/>
              </w:rPr>
            </w:pPr>
            <w:r>
              <w:rPr>
                <w:lang w:val="en-GB"/>
              </w:rPr>
              <w:t>参数</w:t>
            </w:r>
          </w:p>
        </w:tc>
      </w:tr>
      <w:tr w14:paraId="6DAF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97" w:type="pct"/>
            <w:vAlign w:val="center"/>
          </w:tcPr>
          <w:p w14:paraId="57D23A07">
            <w:pPr>
              <w:pStyle w:val="28"/>
              <w:jc w:val="both"/>
              <w:rPr>
                <w:rFonts w:eastAsiaTheme="minorEastAsia"/>
              </w:rPr>
            </w:pPr>
            <w:r>
              <w:t>运行环境</w:t>
            </w:r>
          </w:p>
        </w:tc>
        <w:tc>
          <w:tcPr>
            <w:tcW w:w="3203" w:type="pct"/>
            <w:vAlign w:val="center"/>
          </w:tcPr>
          <w:p w14:paraId="3708F516">
            <w:pPr>
              <w:pStyle w:val="28"/>
              <w:jc w:val="both"/>
              <w:rPr>
                <w:rFonts w:eastAsiaTheme="minorEastAsia"/>
                <w:highlight w:val="yellow"/>
              </w:rPr>
            </w:pPr>
            <w:r>
              <w:t>-30</w:t>
            </w:r>
            <w:r>
              <w:rPr>
                <w:rFonts w:hint="eastAsia" w:ascii="宋体" w:hAnsi="宋体" w:cs="宋体"/>
              </w:rPr>
              <w:t>℃</w:t>
            </w:r>
            <w:r>
              <w:t>~+60</w:t>
            </w:r>
            <w:r>
              <w:rPr>
                <w:rFonts w:hint="eastAsia" w:ascii="宋体" w:hAnsi="宋体" w:cs="宋体"/>
              </w:rPr>
              <w:t>℃</w:t>
            </w:r>
          </w:p>
        </w:tc>
      </w:tr>
      <w:tr w14:paraId="7434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97" w:type="pct"/>
            <w:vAlign w:val="center"/>
          </w:tcPr>
          <w:p w14:paraId="7243B8A1">
            <w:pPr>
              <w:pStyle w:val="28"/>
              <w:jc w:val="both"/>
              <w:rPr>
                <w:rFonts w:eastAsiaTheme="minorEastAsia"/>
              </w:rPr>
            </w:pPr>
            <w:r>
              <w:t>存储温度</w:t>
            </w:r>
          </w:p>
        </w:tc>
        <w:tc>
          <w:tcPr>
            <w:tcW w:w="3203" w:type="pct"/>
            <w:vAlign w:val="center"/>
          </w:tcPr>
          <w:p w14:paraId="2B0EDCAB">
            <w:pPr>
              <w:pStyle w:val="28"/>
              <w:jc w:val="both"/>
              <w:rPr>
                <w:rFonts w:eastAsiaTheme="minorEastAsia"/>
              </w:rPr>
            </w:pPr>
            <w:r>
              <w:t>-40</w:t>
            </w:r>
            <w:r>
              <w:rPr>
                <w:rFonts w:hint="eastAsia" w:ascii="宋体" w:hAnsi="宋体" w:cs="宋体"/>
              </w:rPr>
              <w:t>℃</w:t>
            </w:r>
            <w:r>
              <w:t>~+70</w:t>
            </w:r>
            <w:r>
              <w:rPr>
                <w:rFonts w:hint="eastAsia" w:ascii="宋体" w:hAnsi="宋体" w:cs="宋体"/>
              </w:rPr>
              <w:t>℃</w:t>
            </w:r>
          </w:p>
        </w:tc>
      </w:tr>
      <w:tr w14:paraId="288E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97" w:type="pct"/>
            <w:vAlign w:val="center"/>
          </w:tcPr>
          <w:p w14:paraId="1863A99D">
            <w:pPr>
              <w:pStyle w:val="28"/>
              <w:jc w:val="both"/>
              <w:rPr>
                <w:rFonts w:eastAsiaTheme="minorEastAsia"/>
              </w:rPr>
            </w:pPr>
            <w:r>
              <w:t>电源</w:t>
            </w:r>
          </w:p>
        </w:tc>
        <w:tc>
          <w:tcPr>
            <w:tcW w:w="3203" w:type="pct"/>
            <w:vAlign w:val="center"/>
          </w:tcPr>
          <w:p w14:paraId="426E9D1D">
            <w:pPr>
              <w:pStyle w:val="28"/>
              <w:jc w:val="both"/>
              <w:rPr>
                <w:rFonts w:eastAsiaTheme="minorEastAsia"/>
              </w:rPr>
            </w:pPr>
            <w:r>
              <w:t>100~277Vac，50/60Hz；24Vdc，1.25A</w:t>
            </w:r>
          </w:p>
        </w:tc>
      </w:tr>
      <w:tr w14:paraId="0497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97" w:type="pct"/>
            <w:vAlign w:val="center"/>
          </w:tcPr>
          <w:p w14:paraId="7363453A">
            <w:pPr>
              <w:pStyle w:val="28"/>
              <w:jc w:val="both"/>
            </w:pPr>
            <w:r>
              <w:rPr>
                <w:rFonts w:hint="eastAsia"/>
              </w:rPr>
              <w:t>支持设备数</w:t>
            </w:r>
          </w:p>
        </w:tc>
        <w:tc>
          <w:tcPr>
            <w:tcW w:w="3203" w:type="pct"/>
            <w:vAlign w:val="center"/>
          </w:tcPr>
          <w:p w14:paraId="4263AAAC">
            <w:pPr>
              <w:pStyle w:val="28"/>
              <w:jc w:val="both"/>
            </w:pPr>
            <w:r>
              <w:rPr>
                <w:rFonts w:hint="eastAsia"/>
              </w:rPr>
              <w:t>3</w:t>
            </w:r>
            <w:r>
              <w:t>00</w:t>
            </w:r>
            <w:r>
              <w:rPr>
                <w:rFonts w:hint="eastAsia"/>
              </w:rPr>
              <w:t>台</w:t>
            </w:r>
          </w:p>
        </w:tc>
      </w:tr>
      <w:tr w14:paraId="4AC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7" w:type="pct"/>
            <w:vAlign w:val="center"/>
          </w:tcPr>
          <w:p w14:paraId="3C2B7847">
            <w:pPr>
              <w:pStyle w:val="28"/>
              <w:jc w:val="both"/>
              <w:rPr>
                <w:rFonts w:eastAsiaTheme="minorEastAsia"/>
              </w:rPr>
            </w:pPr>
            <w:r>
              <w:rPr>
                <w:rFonts w:hint="eastAsia"/>
              </w:rPr>
              <w:t>模拟量</w:t>
            </w:r>
            <w:r>
              <w:t>输入</w:t>
            </w:r>
            <w:r>
              <w:rPr>
                <w:rFonts w:hint="eastAsia"/>
              </w:rPr>
              <w:t>（A</w:t>
            </w:r>
            <w:r>
              <w:t>I</w:t>
            </w:r>
            <w:r>
              <w:rPr>
                <w:rFonts w:hint="eastAsia"/>
              </w:rPr>
              <w:t>）</w:t>
            </w:r>
          </w:p>
        </w:tc>
        <w:tc>
          <w:tcPr>
            <w:tcW w:w="3203" w:type="pct"/>
            <w:vAlign w:val="center"/>
          </w:tcPr>
          <w:p w14:paraId="6AB20718">
            <w:pPr>
              <w:pStyle w:val="28"/>
              <w:jc w:val="both"/>
              <w:rPr>
                <w:rFonts w:eastAsiaTheme="minorEastAsia"/>
              </w:rPr>
            </w:pPr>
            <w:r>
              <w:t>2路PT100/PT1000，3路4~20mA信号，1路</w:t>
            </w:r>
            <w:r>
              <w:rPr>
                <w:rFonts w:hint="eastAsia"/>
              </w:rPr>
              <w:t>0</w:t>
            </w:r>
            <w:r>
              <w:t>~10V信号</w:t>
            </w:r>
          </w:p>
        </w:tc>
      </w:tr>
      <w:tr w14:paraId="11C8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7" w:type="pct"/>
            <w:vAlign w:val="center"/>
          </w:tcPr>
          <w:p w14:paraId="5221E448">
            <w:pPr>
              <w:pStyle w:val="28"/>
              <w:jc w:val="both"/>
              <w:rPr>
                <w:rFonts w:eastAsiaTheme="minorEastAsia"/>
              </w:rPr>
            </w:pPr>
            <w:r>
              <w:rPr>
                <w:rFonts w:hint="eastAsia"/>
              </w:rPr>
              <w:t>数字量输入与输出（D</w:t>
            </w:r>
            <w:r>
              <w:t>I</w:t>
            </w:r>
            <w:r>
              <w:rPr>
                <w:rFonts w:hint="eastAsia"/>
              </w:rPr>
              <w:t>）</w:t>
            </w:r>
          </w:p>
        </w:tc>
        <w:tc>
          <w:tcPr>
            <w:tcW w:w="3203" w:type="pct"/>
            <w:vAlign w:val="center"/>
          </w:tcPr>
          <w:p w14:paraId="793F706D">
            <w:pPr>
              <w:pStyle w:val="28"/>
              <w:jc w:val="both"/>
            </w:pPr>
            <w:r>
              <w:t>16路DI</w:t>
            </w:r>
          </w:p>
        </w:tc>
      </w:tr>
      <w:tr w14:paraId="5E9E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7" w:type="pct"/>
            <w:vAlign w:val="center"/>
          </w:tcPr>
          <w:p w14:paraId="64BA4034">
            <w:pPr>
              <w:pStyle w:val="28"/>
              <w:jc w:val="both"/>
            </w:pPr>
            <w:r>
              <w:rPr>
                <w:rFonts w:hint="eastAsia"/>
              </w:rPr>
              <w:t>数字量输出（D</w:t>
            </w:r>
            <w:r>
              <w:t>O</w:t>
            </w:r>
            <w:r>
              <w:rPr>
                <w:rFonts w:hint="eastAsia"/>
              </w:rPr>
              <w:t>）</w:t>
            </w:r>
          </w:p>
        </w:tc>
        <w:tc>
          <w:tcPr>
            <w:tcW w:w="3203" w:type="pct"/>
            <w:vAlign w:val="center"/>
          </w:tcPr>
          <w:p w14:paraId="583E06F9">
            <w:pPr>
              <w:pStyle w:val="28"/>
              <w:jc w:val="both"/>
            </w:pPr>
            <w:r>
              <w:t>4路DO</w:t>
            </w:r>
          </w:p>
        </w:tc>
      </w:tr>
      <w:tr w14:paraId="63E3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97" w:type="pct"/>
            <w:vAlign w:val="center"/>
          </w:tcPr>
          <w:p w14:paraId="7A833ABA">
            <w:pPr>
              <w:pStyle w:val="28"/>
              <w:jc w:val="both"/>
              <w:rPr>
                <w:rFonts w:eastAsiaTheme="minorEastAsia"/>
              </w:rPr>
            </w:pPr>
            <w:r>
              <w:t>通讯接口</w:t>
            </w:r>
          </w:p>
        </w:tc>
        <w:tc>
          <w:tcPr>
            <w:tcW w:w="3203" w:type="pct"/>
            <w:vAlign w:val="center"/>
          </w:tcPr>
          <w:p w14:paraId="1770F7EB">
            <w:pPr>
              <w:pStyle w:val="28"/>
              <w:jc w:val="both"/>
              <w:rPr>
                <w:rFonts w:eastAsiaTheme="minorEastAsia"/>
              </w:rPr>
            </w:pPr>
            <w:r>
              <w:rPr>
                <w:rFonts w:hint="eastAsia"/>
              </w:rPr>
              <w:t>6</w:t>
            </w:r>
            <w:r>
              <w:t>路RS485，5路以太网端口，其中2路为快调网口</w:t>
            </w:r>
          </w:p>
        </w:tc>
      </w:tr>
    </w:tbl>
    <w:p w14:paraId="1C0C37A1">
      <w:pPr>
        <w:pStyle w:val="25"/>
        <w:spacing w:before="156" w:beforeLines="50"/>
        <w:ind w:firstLine="480"/>
      </w:pPr>
      <w:r>
        <w:t>EMU200A</w:t>
      </w:r>
      <w:r>
        <w:rPr>
          <w:rFonts w:hint="eastAsia"/>
        </w:rPr>
        <w:t>主要性能与要求：</w:t>
      </w:r>
    </w:p>
    <w:p w14:paraId="1BBEDE54">
      <w:pPr>
        <w:pStyle w:val="24"/>
        <w:numPr>
          <w:ilvl w:val="4"/>
          <w:numId w:val="6"/>
        </w:numPr>
        <w:ind w:firstLine="480" w:firstLineChars="200"/>
      </w:pPr>
      <w:r>
        <w:t>EMU200A</w:t>
      </w:r>
      <w:r>
        <w:rPr>
          <w:rFonts w:hint="eastAsia"/>
        </w:rPr>
        <w:t>采用工业级全双工存储转换式光纤自愈通信方案，在数据采集器侧，采用工业级全双工存储转换式光纤交换机将数据采集器输出的电信号转化为光信号后通过全双工单模光纤传输到升压站控制室。每个方阵配置</w:t>
      </w:r>
      <w:r>
        <w:t>1</w:t>
      </w:r>
      <w:r>
        <w:rPr>
          <w:rFonts w:hint="eastAsia"/>
        </w:rPr>
        <w:t>套光纤交换机，数据采集器侧光纤交换机的有效通信带宽不得低于</w:t>
      </w:r>
      <w:r>
        <w:t>100Mbps</w:t>
      </w:r>
      <w:r>
        <w:rPr>
          <w:rFonts w:hint="eastAsia"/>
        </w:rPr>
        <w:t>，有效传输距离不低于</w:t>
      </w:r>
      <w:r>
        <w:t>20km</w:t>
      </w:r>
      <w:r>
        <w:rPr>
          <w:rFonts w:hint="eastAsia"/>
        </w:rPr>
        <w:t>。光纤通信信息传输通道中涉及的所有光缆由买方负责购买，卖方需根据数据采集转发系统的硬件配置对光纤的技术规格提出具体、准确的技术要求。</w:t>
      </w:r>
    </w:p>
    <w:p w14:paraId="0463F0E5">
      <w:pPr>
        <w:pStyle w:val="24"/>
        <w:numPr>
          <w:ilvl w:val="4"/>
          <w:numId w:val="5"/>
        </w:numPr>
        <w:ind w:firstLine="480" w:firstLineChars="200"/>
      </w:pPr>
      <w:r>
        <w:t>EMU200A</w:t>
      </w:r>
      <w:r>
        <w:rPr>
          <w:rFonts w:hint="eastAsia"/>
        </w:rPr>
        <w:t>与逆变器的</w:t>
      </w:r>
      <w:r>
        <w:t>RS485</w:t>
      </w:r>
      <w:r>
        <w:rPr>
          <w:rFonts w:hint="eastAsia"/>
        </w:rPr>
        <w:t>通讯的传输速率可调，在支持的通信速率为</w:t>
      </w:r>
      <w:r>
        <w:t>9.6K/19.2K</w:t>
      </w:r>
      <w:r>
        <w:rPr>
          <w:rFonts w:hint="eastAsia"/>
        </w:rPr>
        <w:t>的情况下，独立</w:t>
      </w:r>
      <w:r>
        <w:t>RS485</w:t>
      </w:r>
      <w:r>
        <w:rPr>
          <w:rFonts w:hint="eastAsia"/>
        </w:rPr>
        <w:t>通信接口的最大有效通信距离不应低于</w:t>
      </w:r>
      <w:r>
        <w:t>1000m</w:t>
      </w:r>
      <w:r>
        <w:rPr>
          <w:rFonts w:hint="eastAsia"/>
        </w:rPr>
        <w:t>，而载波通讯的通信速率不低于</w:t>
      </w:r>
      <w:r>
        <w:t>100kbps</w:t>
      </w:r>
      <w:r>
        <w:rPr>
          <w:rFonts w:hint="eastAsia"/>
        </w:rPr>
        <w:t>。</w:t>
      </w:r>
    </w:p>
    <w:p w14:paraId="091D3366">
      <w:pPr>
        <w:pStyle w:val="24"/>
        <w:numPr>
          <w:ilvl w:val="4"/>
          <w:numId w:val="5"/>
        </w:numPr>
        <w:ind w:firstLine="480" w:firstLineChars="200"/>
      </w:pPr>
      <w:r>
        <w:t>EMU200A</w:t>
      </w:r>
      <w:r>
        <w:rPr>
          <w:rFonts w:hint="eastAsia"/>
        </w:rPr>
        <w:t>所执行的安全标准、电磁兼容标准和支持的通信协议如下：</w:t>
      </w:r>
    </w:p>
    <w:p w14:paraId="404977FE">
      <w:pPr>
        <w:pStyle w:val="25"/>
        <w:ind w:firstLine="480"/>
      </w:pPr>
      <w:r>
        <w:rPr>
          <w:rFonts w:hint="eastAsia"/>
        </w:rPr>
        <w:t>安全标准：</w:t>
      </w:r>
      <w:r>
        <w:t>EN 62109-1</w:t>
      </w:r>
      <w:r>
        <w:rPr>
          <w:rFonts w:hint="eastAsia"/>
        </w:rPr>
        <w:t>；</w:t>
      </w:r>
    </w:p>
    <w:p w14:paraId="5D8D1DFE">
      <w:pPr>
        <w:pStyle w:val="25"/>
        <w:ind w:firstLine="480"/>
      </w:pPr>
      <w:r>
        <w:rPr>
          <w:rFonts w:hint="eastAsia"/>
        </w:rPr>
        <w:t>电磁兼容标准：</w:t>
      </w:r>
      <w:r>
        <w:t>EN 55022</w:t>
      </w:r>
      <w:r>
        <w:rPr>
          <w:rFonts w:hint="eastAsia"/>
        </w:rPr>
        <w:t>、</w:t>
      </w:r>
      <w:r>
        <w:t>EN 61000-6-2</w:t>
      </w:r>
      <w:r>
        <w:rPr>
          <w:rFonts w:hint="eastAsia"/>
        </w:rPr>
        <w:t>、</w:t>
      </w:r>
      <w:r>
        <w:t>EN 61000-6-3</w:t>
      </w:r>
      <w:r>
        <w:rPr>
          <w:rFonts w:hint="eastAsia"/>
        </w:rPr>
        <w:t>；</w:t>
      </w:r>
    </w:p>
    <w:p w14:paraId="09C4877F">
      <w:pPr>
        <w:pStyle w:val="25"/>
        <w:ind w:firstLine="480"/>
      </w:pPr>
      <w:r>
        <w:rPr>
          <w:rFonts w:hint="eastAsia"/>
        </w:rPr>
        <w:t>通信协议北向：</w:t>
      </w:r>
      <w:r>
        <w:t>Modbus TCP</w:t>
      </w:r>
      <w:r>
        <w:rPr>
          <w:rFonts w:hint="eastAsia"/>
        </w:rPr>
        <w:t>协议、</w:t>
      </w:r>
      <w:r>
        <w:t>IEC 60870-5-104</w:t>
      </w:r>
      <w:r>
        <w:rPr>
          <w:rFonts w:hint="eastAsia"/>
        </w:rPr>
        <w:t>协议、</w:t>
      </w:r>
      <w:r>
        <w:t>Modbus RTU</w:t>
      </w:r>
      <w:r>
        <w:rPr>
          <w:rFonts w:hint="eastAsia"/>
        </w:rPr>
        <w:t>协议、</w:t>
      </w:r>
      <w:r>
        <w:t>IEC 61850 GOOSE</w:t>
      </w:r>
      <w:r>
        <w:rPr>
          <w:rFonts w:hint="eastAsia"/>
        </w:rPr>
        <w:t>协议；</w:t>
      </w:r>
    </w:p>
    <w:p w14:paraId="538ECE08">
      <w:pPr>
        <w:pStyle w:val="25"/>
        <w:ind w:firstLine="480"/>
      </w:pPr>
      <w:r>
        <w:rPr>
          <w:rFonts w:hint="eastAsia"/>
        </w:rPr>
        <w:t>通信协议南向：</w:t>
      </w:r>
      <w:r>
        <w:t>Modbus RTU</w:t>
      </w:r>
      <w:r>
        <w:rPr>
          <w:rFonts w:hint="eastAsia"/>
        </w:rPr>
        <w:t>协议、</w:t>
      </w:r>
      <w:r>
        <w:t>Modbus TCP</w:t>
      </w:r>
      <w:r>
        <w:rPr>
          <w:rFonts w:hint="eastAsia"/>
        </w:rPr>
        <w:t>协议、</w:t>
      </w:r>
      <w:r>
        <w:t>DL/T645-1997</w:t>
      </w:r>
      <w:r>
        <w:rPr>
          <w:rFonts w:hint="eastAsia"/>
        </w:rPr>
        <w:t>协议、</w:t>
      </w:r>
      <w:r>
        <w:t>DL/T645-2007</w:t>
      </w:r>
      <w:r>
        <w:rPr>
          <w:rFonts w:hint="eastAsia"/>
        </w:rPr>
        <w:t>协议。</w:t>
      </w:r>
    </w:p>
    <w:p w14:paraId="62D28747">
      <w:pPr>
        <w:pStyle w:val="24"/>
        <w:numPr>
          <w:ilvl w:val="4"/>
          <w:numId w:val="5"/>
        </w:numPr>
        <w:ind w:firstLine="480" w:firstLineChars="200"/>
      </w:pPr>
      <w:r>
        <w:rPr>
          <w:rFonts w:hint="eastAsia"/>
        </w:rPr>
        <w:t>数据采集转发系统的平均无故障运行时间不得低于</w:t>
      </w:r>
      <w:r>
        <w:t>20000</w:t>
      </w:r>
      <w:r>
        <w:rPr>
          <w:rFonts w:hint="eastAsia"/>
        </w:rPr>
        <w:t>小时。</w:t>
      </w:r>
    </w:p>
    <w:p w14:paraId="67422241">
      <w:pPr>
        <w:pStyle w:val="29"/>
        <w:numPr>
          <w:ilvl w:val="1"/>
          <w:numId w:val="5"/>
        </w:numPr>
      </w:pPr>
      <w:bookmarkStart w:id="40" w:name="_Toc113522162"/>
      <w:bookmarkStart w:id="41" w:name="_Toc6730"/>
      <w:r>
        <w:rPr>
          <w:rFonts w:hint="eastAsia"/>
        </w:rPr>
        <w:t>工艺要求</w:t>
      </w:r>
      <w:bookmarkEnd w:id="40"/>
      <w:bookmarkEnd w:id="41"/>
    </w:p>
    <w:p w14:paraId="6F28F7E5">
      <w:pPr>
        <w:pStyle w:val="24"/>
        <w:numPr>
          <w:ilvl w:val="4"/>
          <w:numId w:val="5"/>
        </w:numPr>
        <w:ind w:firstLine="480" w:firstLineChars="200"/>
      </w:pPr>
      <w:r>
        <w:rPr>
          <w:rFonts w:hint="eastAsia"/>
        </w:rPr>
        <w:t>逆变器应选用质量可靠的输入输出端子，保证与组件的可靠连接，并需充分考虑电缆的安装与固定。</w:t>
      </w:r>
    </w:p>
    <w:p w14:paraId="11BAF5B2">
      <w:pPr>
        <w:pStyle w:val="24"/>
        <w:numPr>
          <w:ilvl w:val="4"/>
          <w:numId w:val="5"/>
        </w:numPr>
        <w:ind w:firstLine="480" w:firstLineChars="200"/>
      </w:pPr>
      <w:r>
        <w:rPr>
          <w:rFonts w:hint="eastAsia"/>
        </w:rPr>
        <w:t>逆变器箱体结构安全、可靠，设计与安装应便于维护及拆装。</w:t>
      </w:r>
    </w:p>
    <w:p w14:paraId="4C70578C">
      <w:pPr>
        <w:pStyle w:val="24"/>
        <w:numPr>
          <w:ilvl w:val="4"/>
          <w:numId w:val="5"/>
        </w:numPr>
        <w:ind w:firstLine="480" w:firstLineChars="200"/>
      </w:pPr>
      <w:r>
        <w:rPr>
          <w:rFonts w:hint="eastAsia"/>
        </w:rPr>
        <w:t>逆变器防护等级满足</w:t>
      </w:r>
      <w:r>
        <w:t>IP66</w:t>
      </w:r>
      <w:r>
        <w:rPr>
          <w:rFonts w:hint="eastAsia"/>
        </w:rPr>
        <w:t>，箱体设计应考虑通风、散热，且便于设备的维护和更换。为了保证逆变器的强度要求，其主腔体外壳厚度不小于</w:t>
      </w:r>
      <w:r>
        <w:t>2.0mm</w:t>
      </w:r>
      <w:r>
        <w:rPr>
          <w:rFonts w:hint="eastAsia"/>
        </w:rPr>
        <w:t>。</w:t>
      </w:r>
    </w:p>
    <w:p w14:paraId="0CDB844F">
      <w:pPr>
        <w:pStyle w:val="29"/>
        <w:numPr>
          <w:ilvl w:val="1"/>
          <w:numId w:val="5"/>
        </w:numPr>
      </w:pPr>
      <w:bookmarkStart w:id="42" w:name="_Toc113522163"/>
      <w:bookmarkStart w:id="43" w:name="_Toc12578"/>
      <w:r>
        <w:rPr>
          <w:rFonts w:hint="eastAsia"/>
        </w:rPr>
        <w:t>光伏逆变器对箱变的技术要求</w:t>
      </w:r>
      <w:bookmarkEnd w:id="42"/>
      <w:bookmarkEnd w:id="43"/>
    </w:p>
    <w:p w14:paraId="529A8BF3">
      <w:pPr>
        <w:pStyle w:val="24"/>
        <w:numPr>
          <w:ilvl w:val="4"/>
          <w:numId w:val="5"/>
        </w:numPr>
        <w:ind w:firstLine="480" w:firstLineChars="200"/>
      </w:pPr>
      <w:r>
        <w:rPr>
          <w:rFonts w:hint="eastAsia"/>
        </w:rPr>
        <w:t>光伏逆变器仅支持与I</w:t>
      </w:r>
      <w:r>
        <w:t>T</w:t>
      </w:r>
      <w:r>
        <w:rPr>
          <w:rFonts w:hint="eastAsia"/>
        </w:rPr>
        <w:t>系统的箱变连接，不支持连接T</w:t>
      </w:r>
      <w:r>
        <w:t>N</w:t>
      </w:r>
      <w:r>
        <w:rPr>
          <w:rFonts w:hint="eastAsia"/>
        </w:rPr>
        <w:t>系统箱变。</w:t>
      </w:r>
    </w:p>
    <w:p w14:paraId="5C6F7422">
      <w:pPr>
        <w:pStyle w:val="24"/>
        <w:numPr>
          <w:ilvl w:val="4"/>
          <w:numId w:val="5"/>
        </w:numPr>
        <w:ind w:firstLine="480" w:firstLineChars="200"/>
      </w:pPr>
      <w:r>
        <w:rPr>
          <w:rFonts w:hint="eastAsia"/>
        </w:rPr>
        <w:t>低压柜支路保护采用熔断器</w:t>
      </w:r>
      <w:r>
        <w:t>+</w:t>
      </w:r>
      <w:r>
        <w:rPr>
          <w:rFonts w:hint="eastAsia"/>
        </w:rPr>
        <w:t>隔离开关方案或断路器方案，支路熔断器或断路器的分断能力要大于变压器低压侧短路电流。</w:t>
      </w:r>
    </w:p>
    <w:p w14:paraId="3AC7275A">
      <w:pPr>
        <w:pStyle w:val="36"/>
        <w:numPr>
          <w:ilvl w:val="5"/>
          <w:numId w:val="5"/>
        </w:numPr>
        <w:ind w:firstLine="480" w:firstLineChars="200"/>
      </w:pPr>
      <w:r>
        <w:rPr>
          <w:rFonts w:hint="eastAsia"/>
        </w:rPr>
        <w:t>如额定容量为</w:t>
      </w:r>
      <w:r>
        <w:t>4480kVA</w:t>
      </w:r>
      <w:r>
        <w:rPr>
          <w:rFonts w:hint="eastAsia"/>
        </w:rPr>
        <w:t>的升压变压器，短路阻抗为</w:t>
      </w:r>
      <w:r>
        <w:t>8%</w:t>
      </w:r>
      <w:r>
        <w:rPr>
          <w:rFonts w:hint="eastAsia"/>
        </w:rPr>
        <w:t>，根据</w:t>
      </w:r>
      <w:r>
        <w:t>标准GB</w:t>
      </w:r>
      <w:r>
        <w:rPr>
          <w:rFonts w:hint="eastAsia"/>
        </w:rPr>
        <w:t>/T</w:t>
      </w:r>
      <w:r>
        <w:t xml:space="preserve"> 1094.5</w:t>
      </w:r>
      <w:r>
        <w:rPr>
          <w:rFonts w:hint="eastAsia"/>
        </w:rPr>
        <w:t>，可计算其低压侧短路电流为：</w:t>
      </w:r>
      <w:r>
        <w:t>I</w:t>
      </w:r>
      <w:r>
        <w:rPr>
          <w:rFonts w:hint="eastAsia"/>
          <w:vertAlign w:val="subscript"/>
        </w:rPr>
        <w:t>sc</w:t>
      </w:r>
      <w:r>
        <w:t>=4480/0.8/1.732/</w:t>
      </w:r>
      <w:r>
        <w:rPr>
          <w:rFonts w:hint="eastAsia"/>
        </w:rPr>
        <w:t>(</w:t>
      </w:r>
      <w:r>
        <w:t>0.08</w:t>
      </w:r>
      <w:r>
        <w:rPr>
          <w:rFonts w:hint="eastAsia"/>
        </w:rPr>
        <w:t>*0.9)</w:t>
      </w:r>
      <w:r>
        <w:t>=44.</w:t>
      </w:r>
      <w:r>
        <w:rPr>
          <w:rFonts w:hint="eastAsia"/>
        </w:rPr>
        <w:t>9</w:t>
      </w:r>
      <w:r>
        <w:t>kA</w:t>
      </w:r>
      <w:r>
        <w:rPr>
          <w:rFonts w:hint="eastAsia"/>
        </w:rPr>
        <w:t>，则低压柜支路熔断器或断路器</w:t>
      </w:r>
      <w:r>
        <w:t>I</w:t>
      </w:r>
      <w:r>
        <w:rPr>
          <w:vertAlign w:val="subscript"/>
        </w:rPr>
        <w:t>cu</w:t>
      </w:r>
      <w:r>
        <w:rPr>
          <w:rFonts w:hint="eastAsia"/>
        </w:rPr>
        <w:t>≥</w:t>
      </w:r>
      <w:r>
        <w:t>44.</w:t>
      </w:r>
      <w:r>
        <w:rPr>
          <w:rFonts w:hint="eastAsia"/>
        </w:rPr>
        <w:t>9</w:t>
      </w:r>
      <w:r>
        <w:t>kA</w:t>
      </w:r>
      <w:r>
        <w:rPr>
          <w:rFonts w:hint="eastAsia"/>
        </w:rPr>
        <w:t>。</w:t>
      </w:r>
    </w:p>
    <w:p w14:paraId="053D69DC">
      <w:pPr>
        <w:pStyle w:val="36"/>
        <w:numPr>
          <w:ilvl w:val="5"/>
          <w:numId w:val="5"/>
        </w:numPr>
        <w:ind w:firstLine="480" w:firstLineChars="200"/>
      </w:pPr>
      <w:r>
        <w:rPr>
          <w:rFonts w:hint="eastAsia"/>
        </w:rPr>
        <w:t>如额定容量为</w:t>
      </w:r>
      <w:r>
        <w:t>3200kVA</w:t>
      </w:r>
      <w:r>
        <w:rPr>
          <w:rFonts w:hint="eastAsia"/>
        </w:rPr>
        <w:t>的升压变压器，短路阻抗为</w:t>
      </w:r>
      <w:r>
        <w:t>7%</w:t>
      </w:r>
      <w:r>
        <w:rPr>
          <w:rFonts w:hint="eastAsia"/>
        </w:rPr>
        <w:t>，根据</w:t>
      </w:r>
      <w:r>
        <w:t>标准GB</w:t>
      </w:r>
      <w:r>
        <w:rPr>
          <w:rFonts w:hint="eastAsia"/>
        </w:rPr>
        <w:t>/T</w:t>
      </w:r>
      <w:r>
        <w:t xml:space="preserve"> 1094.5</w:t>
      </w:r>
      <w:r>
        <w:rPr>
          <w:rFonts w:hint="eastAsia"/>
        </w:rPr>
        <w:t>，可计算其低压侧短路电流为：</w:t>
      </w:r>
      <w:r>
        <w:t>I</w:t>
      </w:r>
      <w:r>
        <w:rPr>
          <w:rFonts w:hint="eastAsia"/>
          <w:vertAlign w:val="subscript"/>
        </w:rPr>
        <w:t>sc</w:t>
      </w:r>
      <w:r>
        <w:t>=3200/0.8/1.732/</w:t>
      </w:r>
      <w:r>
        <w:rPr>
          <w:rFonts w:hint="eastAsia"/>
        </w:rPr>
        <w:t>(</w:t>
      </w:r>
      <w:r>
        <w:t>0.07</w:t>
      </w:r>
      <w:r>
        <w:rPr>
          <w:rFonts w:hint="eastAsia"/>
        </w:rPr>
        <w:t>*0.9)</w:t>
      </w:r>
      <w:r>
        <w:t>=36.</w:t>
      </w:r>
      <w:r>
        <w:rPr>
          <w:rFonts w:hint="eastAsia"/>
        </w:rPr>
        <w:t>7</w:t>
      </w:r>
      <w:r>
        <w:t>kA</w:t>
      </w:r>
      <w:r>
        <w:rPr>
          <w:rFonts w:hint="eastAsia"/>
        </w:rPr>
        <w:t>，则低压柜支路熔断器或断路器</w:t>
      </w:r>
      <w:r>
        <w:t>I</w:t>
      </w:r>
      <w:r>
        <w:rPr>
          <w:vertAlign w:val="subscript"/>
        </w:rPr>
        <w:t>cu</w:t>
      </w:r>
      <w:r>
        <w:rPr>
          <w:rFonts w:hint="eastAsia"/>
        </w:rPr>
        <w:t>≥</w:t>
      </w:r>
      <w:r>
        <w:t>36.</w:t>
      </w:r>
      <w:r>
        <w:rPr>
          <w:rFonts w:hint="eastAsia"/>
        </w:rPr>
        <w:t>7</w:t>
      </w:r>
      <w:r>
        <w:t>kA</w:t>
      </w:r>
      <w:r>
        <w:rPr>
          <w:rFonts w:hint="eastAsia"/>
        </w:rPr>
        <w:t>。</w:t>
      </w:r>
    </w:p>
    <w:p w14:paraId="2012DF50">
      <w:pPr>
        <w:pStyle w:val="36"/>
        <w:numPr>
          <w:ilvl w:val="5"/>
          <w:numId w:val="5"/>
        </w:numPr>
        <w:ind w:firstLine="480" w:firstLineChars="200"/>
      </w:pPr>
      <w:r>
        <w:rPr>
          <w:rFonts w:hint="eastAsia"/>
        </w:rPr>
        <w:t>熔断器与隔离开关或断路器需要考虑温度和海拔降额。</w:t>
      </w:r>
    </w:p>
    <w:p w14:paraId="0F0DB0FE">
      <w:pPr>
        <w:pStyle w:val="24"/>
        <w:numPr>
          <w:ilvl w:val="4"/>
          <w:numId w:val="5"/>
        </w:numPr>
        <w:ind w:firstLine="480" w:firstLineChars="200"/>
      </w:pPr>
      <w:r>
        <w:rPr>
          <w:rFonts w:hint="eastAsia"/>
        </w:rPr>
        <w:t>若光伏发电系统具备</w:t>
      </w:r>
      <w:r>
        <w:t>PID</w:t>
      </w:r>
      <w:r>
        <w:rPr>
          <w:rFonts w:hint="eastAsia"/>
        </w:rPr>
        <w:t>功能时：</w:t>
      </w:r>
    </w:p>
    <w:p w14:paraId="042A7C3F">
      <w:pPr>
        <w:pStyle w:val="36"/>
        <w:numPr>
          <w:ilvl w:val="5"/>
          <w:numId w:val="5"/>
        </w:numPr>
        <w:ind w:firstLine="480" w:firstLineChars="200"/>
      </w:pPr>
      <w:r>
        <w:rPr>
          <w:rFonts w:hint="eastAsia"/>
        </w:rPr>
        <w:t>逆变器交流输出对地电压有效值</w:t>
      </w:r>
      <w:r>
        <w:t>906V</w:t>
      </w:r>
      <w:r>
        <w:rPr>
          <w:vertAlign w:val="subscript"/>
        </w:rPr>
        <w:t>ac</w:t>
      </w:r>
      <w:r>
        <w:rPr>
          <w:rFonts w:hint="eastAsia"/>
        </w:rPr>
        <w:t>。箱变低压侧防雷器最大持续工作电压等参数必须满足上述要求，推荐采用“</w:t>
      </w:r>
      <w:r>
        <w:t>3+1”</w:t>
      </w:r>
      <w:r>
        <w:rPr>
          <w:rFonts w:hint="eastAsia"/>
        </w:rPr>
        <w:t>接线方式，如下图所示。</w:t>
      </w:r>
    </w:p>
    <w:p w14:paraId="2D7FA6CC">
      <w:pPr>
        <w:pStyle w:val="34"/>
      </w:pPr>
      <w:r>
        <w:object>
          <v:shape id="_x0000_i1027" o:spt="75" type="#_x0000_t75" style="height:148.8pt;width:130.8pt;" o:ole="t" filled="f" o:preferrelative="t" stroked="f" coordsize="21600,21600">
            <v:path/>
            <v:fill on="f" focussize="0,0"/>
            <v:stroke on="f" joinstyle="miter"/>
            <v:imagedata r:id="rId20" o:title=""/>
            <o:lock v:ext="edit" aspectratio="t"/>
            <w10:wrap type="none"/>
            <w10:anchorlock/>
          </v:shape>
          <o:OLEObject Type="Embed" ProgID="Visio.Drawing.11" ShapeID="_x0000_i1027" DrawAspect="Content" ObjectID="_1468075727" r:id="rId19">
            <o:LockedField>false</o:LockedField>
          </o:OLEObject>
        </w:object>
      </w:r>
    </w:p>
    <w:p w14:paraId="7AF7D2C2">
      <w:pPr>
        <w:pStyle w:val="35"/>
        <w:numPr>
          <w:ilvl w:val="7"/>
          <w:numId w:val="5"/>
        </w:numPr>
      </w:pPr>
      <w:r>
        <w:rPr>
          <w:rFonts w:hint="eastAsia"/>
        </w:rPr>
        <w:t>低压侧防雷器拓扑示意图</w:t>
      </w:r>
    </w:p>
    <w:p w14:paraId="61743639">
      <w:pPr>
        <w:pStyle w:val="36"/>
        <w:numPr>
          <w:ilvl w:val="5"/>
          <w:numId w:val="5"/>
        </w:numPr>
        <w:ind w:firstLine="480" w:firstLineChars="200"/>
      </w:pPr>
      <w:r>
        <w:rPr>
          <w:rFonts w:hint="eastAsia"/>
        </w:rPr>
        <w:t>箱变低压侧绕组、交流电缆及二次设备（包括继电保护、检测计量及相关辅助设备）对地耐压有效值要求不低于</w:t>
      </w:r>
      <w:r>
        <w:t>906V</w:t>
      </w:r>
      <w:r>
        <w:rPr>
          <w:vertAlign w:val="subscript"/>
        </w:rPr>
        <w:t>ac</w:t>
      </w:r>
      <w:r>
        <w:rPr>
          <w:rFonts w:hint="eastAsia"/>
        </w:rPr>
        <w:t>。</w:t>
      </w:r>
    </w:p>
    <w:p w14:paraId="2B10186E">
      <w:pPr>
        <w:pStyle w:val="36"/>
        <w:numPr>
          <w:ilvl w:val="5"/>
          <w:numId w:val="5"/>
        </w:numPr>
        <w:ind w:firstLine="480" w:firstLineChars="200"/>
      </w:pPr>
      <w:r>
        <w:rPr>
          <w:rFonts w:hint="eastAsia"/>
        </w:rPr>
        <w:t>箱变低压配电室需要预留</w:t>
      </w:r>
      <w:r>
        <w:t>220Vac</w:t>
      </w:r>
      <w:r>
        <w:rPr>
          <w:rFonts w:hint="eastAsia"/>
        </w:rPr>
        <w:t>电源及输入接口（含开关），供集成</w:t>
      </w:r>
      <w:r>
        <w:t>PID</w:t>
      </w:r>
      <w:r>
        <w:rPr>
          <w:rFonts w:hint="eastAsia"/>
        </w:rPr>
        <w:t>功能模块的</w:t>
      </w:r>
      <w:r>
        <w:t>EMU200A</w:t>
      </w:r>
      <w:r>
        <w:rPr>
          <w:rFonts w:hint="eastAsia"/>
        </w:rPr>
        <w:t>能量管理单元取电。箱变需要为</w:t>
      </w:r>
      <w:r>
        <w:t>EMU200A</w:t>
      </w:r>
      <w:r>
        <w:rPr>
          <w:rFonts w:hint="eastAsia"/>
        </w:rPr>
        <w:t>能量管理单元提供户外壁挂式安装空间。</w:t>
      </w:r>
    </w:p>
    <w:p w14:paraId="5044A61A">
      <w:pPr>
        <w:pStyle w:val="36"/>
        <w:numPr>
          <w:ilvl w:val="5"/>
          <w:numId w:val="5"/>
        </w:numPr>
        <w:ind w:firstLine="480" w:firstLineChars="200"/>
      </w:pPr>
      <w:r>
        <w:rPr>
          <w:rFonts w:hint="eastAsia"/>
        </w:rPr>
        <w:t>采用</w:t>
      </w:r>
      <w:r>
        <w:t>EMU200A</w:t>
      </w:r>
      <w:r>
        <w:rPr>
          <w:rFonts w:hint="eastAsia"/>
        </w:rPr>
        <w:t>能量管理单元的</w:t>
      </w:r>
      <w:r>
        <w:t>PLC</w:t>
      </w:r>
      <w:r>
        <w:rPr>
          <w:rFonts w:hint="eastAsia"/>
        </w:rPr>
        <w:t>通信时，箱变低压柜需预留刀熔开关或断路器，推荐的熔断器或断路器的额定电压为1</w:t>
      </w:r>
      <w:r>
        <w:t>000V</w:t>
      </w:r>
      <w:r>
        <w:rPr>
          <w:rFonts w:hint="eastAsia"/>
        </w:rPr>
        <w:t>，额定电流≥</w:t>
      </w:r>
      <w:r>
        <w:t>2A</w:t>
      </w:r>
      <w:r>
        <w:rPr>
          <w:rFonts w:hint="eastAsia"/>
        </w:rPr>
        <w:t>。</w:t>
      </w:r>
      <w:r>
        <w:t>EMU200</w:t>
      </w:r>
      <w:r>
        <w:rPr>
          <w:rFonts w:hint="eastAsia"/>
        </w:rPr>
        <w:t>A到箱变低压柜的PLC电力载波电缆推荐电压规格为</w:t>
      </w:r>
      <w:r>
        <w:t>1.8/3kV</w:t>
      </w:r>
      <w:r>
        <w:rPr>
          <w:rFonts w:hint="eastAsia"/>
        </w:rPr>
        <w:t>，载流规格为 2.5</w:t>
      </w:r>
      <w:r>
        <w:t>-</w:t>
      </w:r>
      <w:r>
        <w:rPr>
          <w:rFonts w:hint="eastAsia"/>
        </w:rPr>
        <w:t>4</w:t>
      </w:r>
      <w:bookmarkStart w:id="44" w:name="_Hlk176972694"/>
      <w:r>
        <w:t>mm</w:t>
      </w:r>
      <w:r>
        <w:rPr>
          <w:vertAlign w:val="superscript"/>
        </w:rPr>
        <w:t>2</w:t>
      </w:r>
      <w:bookmarkEnd w:id="44"/>
      <w:r>
        <w:rPr>
          <w:rFonts w:hint="eastAsia"/>
        </w:rPr>
        <w:t>，线缆在线槽内可平行敷设，走线过程中不得打结和缠绕，同一线槽内交流线缆之间无间距要求。能量管理单元</w:t>
      </w:r>
      <w:r>
        <w:t>EMU200</w:t>
      </w:r>
      <w:r>
        <w:rPr>
          <w:rFonts w:hint="eastAsia"/>
        </w:rPr>
        <w:t>A到箱变低压柜母排的</w:t>
      </w:r>
      <w:r>
        <w:t>PLC</w:t>
      </w:r>
      <w:r>
        <w:rPr>
          <w:rFonts w:hint="eastAsia"/>
        </w:rPr>
        <w:t>线缆距离≤</w:t>
      </w:r>
      <w:r>
        <w:t>10m</w:t>
      </w:r>
      <w:r>
        <w:rPr>
          <w:rFonts w:hint="eastAsia"/>
        </w:rPr>
        <w:t>。</w:t>
      </w:r>
    </w:p>
    <w:p w14:paraId="05D4890B">
      <w:pPr>
        <w:pStyle w:val="23"/>
        <w:numPr>
          <w:ilvl w:val="0"/>
          <w:numId w:val="5"/>
        </w:numPr>
      </w:pPr>
      <w:bookmarkStart w:id="45" w:name="_Toc8212"/>
      <w:r>
        <w:rPr>
          <w:rFonts w:hint="eastAsia"/>
        </w:rPr>
        <w:t>技术参数表</w:t>
      </w:r>
      <w:bookmarkEnd w:id="45"/>
    </w:p>
    <w:p w14:paraId="7F915ED7">
      <w:pPr>
        <w:pStyle w:val="26"/>
        <w:numPr>
          <w:ilvl w:val="8"/>
          <w:numId w:val="5"/>
        </w:numPr>
      </w:pPr>
      <w:r>
        <w:rPr>
          <w:rFonts w:hint="eastAsia"/>
        </w:rPr>
        <w:t>技术参数表</w:t>
      </w:r>
    </w:p>
    <w:tbl>
      <w:tblPr>
        <w:tblStyle w:val="11"/>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3"/>
        <w:gridCol w:w="6030"/>
      </w:tblGrid>
      <w:tr w14:paraId="73BA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64352EF">
            <w:pPr>
              <w:pStyle w:val="27"/>
            </w:pPr>
            <w:r>
              <w:t>型号</w:t>
            </w:r>
          </w:p>
        </w:tc>
        <w:tc>
          <w:tcPr>
            <w:tcW w:w="3104" w:type="pct"/>
            <w:vAlign w:val="center"/>
          </w:tcPr>
          <w:p w14:paraId="0FD183CD">
            <w:pPr>
              <w:pStyle w:val="27"/>
            </w:pPr>
            <w:r>
              <w:t>SG320HX</w:t>
            </w:r>
            <w:r>
              <w:rPr>
                <w:rFonts w:hint="eastAsia"/>
              </w:rPr>
              <w:t>-</w:t>
            </w:r>
            <w:r>
              <w:t>20</w:t>
            </w:r>
          </w:p>
        </w:tc>
      </w:tr>
      <w:tr w14:paraId="7105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000" w:type="pct"/>
            <w:gridSpan w:val="2"/>
            <w:vAlign w:val="center"/>
          </w:tcPr>
          <w:p w14:paraId="44D31623">
            <w:pPr>
              <w:pStyle w:val="28"/>
              <w:rPr>
                <w:b/>
                <w:spacing w:val="-2"/>
              </w:rPr>
            </w:pPr>
            <w:r>
              <w:rPr>
                <w:b/>
              </w:rPr>
              <w:t>输入</w:t>
            </w:r>
          </w:p>
        </w:tc>
      </w:tr>
      <w:tr w14:paraId="612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68BB343A">
            <w:pPr>
              <w:pStyle w:val="28"/>
            </w:pPr>
            <w:r>
              <w:t>最大输入电压</w:t>
            </w:r>
          </w:p>
        </w:tc>
        <w:tc>
          <w:tcPr>
            <w:tcW w:w="3104" w:type="pct"/>
            <w:vAlign w:val="center"/>
          </w:tcPr>
          <w:p w14:paraId="70CF7101">
            <w:pPr>
              <w:pStyle w:val="28"/>
            </w:pPr>
            <w:r>
              <w:t>1500V</w:t>
            </w:r>
          </w:p>
        </w:tc>
      </w:tr>
      <w:tr w14:paraId="6F11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6A1F3BE7">
            <w:pPr>
              <w:pStyle w:val="28"/>
            </w:pPr>
            <w:r>
              <w:t>启动电压</w:t>
            </w:r>
          </w:p>
        </w:tc>
        <w:tc>
          <w:tcPr>
            <w:tcW w:w="3104" w:type="pct"/>
            <w:vAlign w:val="center"/>
          </w:tcPr>
          <w:p w14:paraId="4B49F392">
            <w:pPr>
              <w:pStyle w:val="28"/>
            </w:pPr>
            <w:r>
              <w:t>550V</w:t>
            </w:r>
          </w:p>
        </w:tc>
      </w:tr>
      <w:tr w14:paraId="2A31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FFEB080">
            <w:pPr>
              <w:pStyle w:val="28"/>
            </w:pPr>
            <w:r>
              <w:t>额定输入电压</w:t>
            </w:r>
          </w:p>
        </w:tc>
        <w:tc>
          <w:tcPr>
            <w:tcW w:w="3104" w:type="pct"/>
            <w:vAlign w:val="center"/>
          </w:tcPr>
          <w:p w14:paraId="08C5E011">
            <w:pPr>
              <w:pStyle w:val="28"/>
            </w:pPr>
            <w:r>
              <w:t>1080V</w:t>
            </w:r>
          </w:p>
        </w:tc>
      </w:tr>
      <w:tr w14:paraId="6BAE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C67BF9B">
            <w:pPr>
              <w:pStyle w:val="28"/>
            </w:pPr>
            <w:r>
              <w:t>MPPT电压范围</w:t>
            </w:r>
          </w:p>
        </w:tc>
        <w:tc>
          <w:tcPr>
            <w:tcW w:w="3104" w:type="pct"/>
            <w:vAlign w:val="center"/>
          </w:tcPr>
          <w:p w14:paraId="432E8B9A">
            <w:pPr>
              <w:pStyle w:val="28"/>
            </w:pPr>
            <w:r>
              <w:t>500～1500V</w:t>
            </w:r>
          </w:p>
        </w:tc>
      </w:tr>
      <w:tr w14:paraId="447F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FB813DD">
            <w:pPr>
              <w:pStyle w:val="28"/>
            </w:pPr>
            <w:r>
              <w:t>满载MPPT电压范围</w:t>
            </w:r>
          </w:p>
        </w:tc>
        <w:tc>
          <w:tcPr>
            <w:tcW w:w="3104" w:type="pct"/>
            <w:vAlign w:val="center"/>
          </w:tcPr>
          <w:p w14:paraId="73DEC6D8">
            <w:pPr>
              <w:pStyle w:val="28"/>
            </w:pPr>
            <w:r>
              <w:rPr>
                <w:rFonts w:hint="eastAsia"/>
              </w:rPr>
              <w:t>8</w:t>
            </w:r>
            <w:r>
              <w:t>60～1300V</w:t>
            </w:r>
          </w:p>
        </w:tc>
      </w:tr>
      <w:tr w14:paraId="520A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624E5892">
            <w:pPr>
              <w:pStyle w:val="28"/>
            </w:pPr>
            <w:r>
              <w:t>MPPT数量</w:t>
            </w:r>
          </w:p>
        </w:tc>
        <w:tc>
          <w:tcPr>
            <w:tcW w:w="3104" w:type="pct"/>
            <w:vAlign w:val="center"/>
          </w:tcPr>
          <w:p w14:paraId="72A8D544">
            <w:pPr>
              <w:pStyle w:val="28"/>
            </w:pPr>
            <w:r>
              <w:rPr>
                <w:rFonts w:hint="eastAsia"/>
              </w:rPr>
              <w:t>6</w:t>
            </w:r>
          </w:p>
        </w:tc>
      </w:tr>
      <w:tr w14:paraId="514F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B77F86C">
            <w:pPr>
              <w:pStyle w:val="28"/>
            </w:pPr>
            <w:r>
              <w:t>每路MPPT最大输入组串数</w:t>
            </w:r>
          </w:p>
        </w:tc>
        <w:tc>
          <w:tcPr>
            <w:tcW w:w="3104" w:type="pct"/>
            <w:vAlign w:val="center"/>
          </w:tcPr>
          <w:p w14:paraId="44822EEF">
            <w:pPr>
              <w:pStyle w:val="28"/>
            </w:pPr>
            <w:r>
              <w:rPr>
                <w:rFonts w:hint="eastAsia"/>
              </w:rPr>
              <w:t>5</w:t>
            </w:r>
          </w:p>
        </w:tc>
      </w:tr>
      <w:tr w14:paraId="27FB978D">
        <w:tblPrEx>
          <w:tblCellMar>
            <w:top w:w="0" w:type="dxa"/>
            <w:left w:w="108" w:type="dxa"/>
            <w:bottom w:w="0" w:type="dxa"/>
            <w:right w:w="108" w:type="dxa"/>
          </w:tblCellMar>
        </w:tblPrEx>
        <w:trPr>
          <w:cantSplit/>
          <w:trHeight w:val="361" w:hRule="atLeast"/>
        </w:trPr>
        <w:tc>
          <w:tcPr>
            <w:tcW w:w="1896" w:type="pct"/>
            <w:vAlign w:val="center"/>
          </w:tcPr>
          <w:p w14:paraId="6F7B1190">
            <w:pPr>
              <w:pStyle w:val="28"/>
            </w:pPr>
            <w:r>
              <w:t>最大输入电流</w:t>
            </w:r>
          </w:p>
        </w:tc>
        <w:tc>
          <w:tcPr>
            <w:tcW w:w="3104" w:type="pct"/>
            <w:vAlign w:val="center"/>
          </w:tcPr>
          <w:p w14:paraId="5F5DAE7B">
            <w:pPr>
              <w:pStyle w:val="28"/>
            </w:pPr>
            <w:r>
              <w:t>75A*6</w:t>
            </w:r>
          </w:p>
        </w:tc>
      </w:tr>
      <w:tr w14:paraId="4A8B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000" w:type="pct"/>
            <w:gridSpan w:val="2"/>
            <w:vAlign w:val="center"/>
          </w:tcPr>
          <w:p w14:paraId="79F1C127">
            <w:pPr>
              <w:pStyle w:val="28"/>
              <w:rPr>
                <w:b/>
                <w:kern w:val="0"/>
              </w:rPr>
            </w:pPr>
            <w:r>
              <w:rPr>
                <w:b/>
              </w:rPr>
              <w:t>输出</w:t>
            </w:r>
          </w:p>
        </w:tc>
      </w:tr>
      <w:tr w14:paraId="7AE0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6F20803">
            <w:pPr>
              <w:pStyle w:val="28"/>
            </w:pPr>
            <w:r>
              <w:t>额定输出功率</w:t>
            </w:r>
          </w:p>
        </w:tc>
        <w:tc>
          <w:tcPr>
            <w:tcW w:w="3104" w:type="pct"/>
            <w:vAlign w:val="center"/>
          </w:tcPr>
          <w:p w14:paraId="3E2A6136">
            <w:pPr>
              <w:pStyle w:val="28"/>
            </w:pPr>
            <w:r>
              <w:t>320kW</w:t>
            </w:r>
          </w:p>
        </w:tc>
      </w:tr>
      <w:tr w14:paraId="14C4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063206DE">
            <w:pPr>
              <w:pStyle w:val="28"/>
            </w:pPr>
            <w:r>
              <w:t>最大输出视在功率</w:t>
            </w:r>
          </w:p>
        </w:tc>
        <w:tc>
          <w:tcPr>
            <w:tcW w:w="3104" w:type="pct"/>
            <w:vAlign w:val="center"/>
          </w:tcPr>
          <w:p w14:paraId="483E3004">
            <w:pPr>
              <w:pStyle w:val="28"/>
            </w:pPr>
            <w:r>
              <w:t>352kVA</w:t>
            </w:r>
          </w:p>
        </w:tc>
      </w:tr>
      <w:tr w14:paraId="5B57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5EF4B591">
            <w:pPr>
              <w:pStyle w:val="28"/>
            </w:pPr>
            <w:r>
              <w:t>最大输出电流</w:t>
            </w:r>
          </w:p>
        </w:tc>
        <w:tc>
          <w:tcPr>
            <w:tcW w:w="3104" w:type="pct"/>
            <w:vAlign w:val="center"/>
          </w:tcPr>
          <w:p w14:paraId="6CE654FD">
            <w:pPr>
              <w:pStyle w:val="28"/>
            </w:pPr>
            <w:r>
              <w:t>254A</w:t>
            </w:r>
          </w:p>
        </w:tc>
      </w:tr>
      <w:tr w14:paraId="4728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15F405B">
            <w:pPr>
              <w:pStyle w:val="28"/>
            </w:pPr>
            <w:r>
              <w:t>额定电网电压</w:t>
            </w:r>
          </w:p>
        </w:tc>
        <w:tc>
          <w:tcPr>
            <w:tcW w:w="3104" w:type="pct"/>
            <w:vAlign w:val="center"/>
          </w:tcPr>
          <w:p w14:paraId="7E34B5A0">
            <w:pPr>
              <w:pStyle w:val="28"/>
            </w:pPr>
            <w:r>
              <w:t>3/PE</w:t>
            </w:r>
            <w:r>
              <w:rPr>
                <w:rFonts w:hint="eastAsia"/>
              </w:rPr>
              <w:t>，</w:t>
            </w:r>
            <w:r>
              <w:t>800Vac</w:t>
            </w:r>
          </w:p>
        </w:tc>
      </w:tr>
      <w:tr w14:paraId="6C7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019E8C25">
            <w:pPr>
              <w:pStyle w:val="28"/>
            </w:pPr>
            <w:r>
              <w:t>电网电压范围</w:t>
            </w:r>
          </w:p>
        </w:tc>
        <w:tc>
          <w:tcPr>
            <w:tcW w:w="3104" w:type="pct"/>
            <w:vAlign w:val="center"/>
          </w:tcPr>
          <w:p w14:paraId="3A73184C">
            <w:pPr>
              <w:pStyle w:val="28"/>
            </w:pPr>
            <w:r>
              <w:t>640～920Vac</w:t>
            </w:r>
          </w:p>
        </w:tc>
      </w:tr>
      <w:tr w14:paraId="031C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DC8BFAD">
            <w:pPr>
              <w:pStyle w:val="28"/>
            </w:pPr>
            <w:r>
              <w:t>额定电网频率</w:t>
            </w:r>
          </w:p>
        </w:tc>
        <w:tc>
          <w:tcPr>
            <w:tcW w:w="3104" w:type="pct"/>
            <w:vAlign w:val="center"/>
          </w:tcPr>
          <w:p w14:paraId="296E2F62">
            <w:pPr>
              <w:pStyle w:val="28"/>
            </w:pPr>
            <w:r>
              <w:t>50Hz/60Hz</w:t>
            </w:r>
          </w:p>
        </w:tc>
      </w:tr>
      <w:tr w14:paraId="4BCA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951A7C0">
            <w:pPr>
              <w:pStyle w:val="28"/>
            </w:pPr>
            <w:r>
              <w:t>电网频率范围</w:t>
            </w:r>
          </w:p>
        </w:tc>
        <w:tc>
          <w:tcPr>
            <w:tcW w:w="3104" w:type="pct"/>
            <w:vAlign w:val="center"/>
          </w:tcPr>
          <w:p w14:paraId="4C9D5B73">
            <w:pPr>
              <w:pStyle w:val="28"/>
            </w:pPr>
            <w:r>
              <w:t>45～55Hz/55～65Hz</w:t>
            </w:r>
          </w:p>
        </w:tc>
      </w:tr>
      <w:tr w14:paraId="074E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26670200">
            <w:pPr>
              <w:pStyle w:val="28"/>
            </w:pPr>
            <w:r>
              <w:t>直流分量</w:t>
            </w:r>
          </w:p>
        </w:tc>
        <w:tc>
          <w:tcPr>
            <w:tcW w:w="3104" w:type="pct"/>
            <w:vAlign w:val="center"/>
          </w:tcPr>
          <w:p w14:paraId="58C48C7F">
            <w:pPr>
              <w:pStyle w:val="28"/>
            </w:pPr>
            <w:r>
              <w:t>＜0.5%In</w:t>
            </w:r>
          </w:p>
        </w:tc>
      </w:tr>
      <w:tr w14:paraId="351A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2C6D265">
            <w:pPr>
              <w:pStyle w:val="28"/>
            </w:pPr>
            <w:r>
              <w:t>总电流波形畸变率</w:t>
            </w:r>
          </w:p>
        </w:tc>
        <w:tc>
          <w:tcPr>
            <w:tcW w:w="3104" w:type="pct"/>
            <w:vAlign w:val="center"/>
          </w:tcPr>
          <w:p w14:paraId="508262ED">
            <w:pPr>
              <w:pStyle w:val="28"/>
            </w:pPr>
            <w:r>
              <w:t>＜</w:t>
            </w:r>
            <w:r>
              <w:rPr>
                <w:rFonts w:hint="eastAsia"/>
              </w:rPr>
              <w:t>1</w:t>
            </w:r>
            <w:r>
              <w:t>%（额定功率下）</w:t>
            </w:r>
          </w:p>
        </w:tc>
      </w:tr>
      <w:tr w14:paraId="70C8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3ECD9F5">
            <w:pPr>
              <w:pStyle w:val="28"/>
            </w:pPr>
            <w:r>
              <w:t>功率因数可调范围</w:t>
            </w:r>
          </w:p>
        </w:tc>
        <w:tc>
          <w:tcPr>
            <w:tcW w:w="3104" w:type="pct"/>
            <w:vAlign w:val="center"/>
          </w:tcPr>
          <w:p w14:paraId="70726CE2">
            <w:pPr>
              <w:pStyle w:val="28"/>
            </w:pPr>
            <w:r>
              <w:t>0.8超前~0.8滞后</w:t>
            </w:r>
          </w:p>
        </w:tc>
      </w:tr>
      <w:tr w14:paraId="4AC5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6D9DD31">
            <w:pPr>
              <w:pStyle w:val="28"/>
            </w:pPr>
            <w:r>
              <w:t>输出端相数</w:t>
            </w:r>
          </w:p>
        </w:tc>
        <w:tc>
          <w:tcPr>
            <w:tcW w:w="3104" w:type="pct"/>
            <w:vAlign w:val="center"/>
          </w:tcPr>
          <w:p w14:paraId="2F076BF5">
            <w:pPr>
              <w:pStyle w:val="28"/>
            </w:pPr>
            <w:r>
              <w:t>3</w:t>
            </w:r>
          </w:p>
        </w:tc>
      </w:tr>
      <w:tr w14:paraId="57E1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000" w:type="pct"/>
            <w:gridSpan w:val="2"/>
            <w:vAlign w:val="center"/>
          </w:tcPr>
          <w:p w14:paraId="0EB1D913">
            <w:pPr>
              <w:pStyle w:val="28"/>
              <w:rPr>
                <w:kern w:val="0"/>
              </w:rPr>
            </w:pPr>
            <w:r>
              <w:rPr>
                <w:b/>
              </w:rPr>
              <w:t>效率</w:t>
            </w:r>
          </w:p>
        </w:tc>
      </w:tr>
      <w:tr w14:paraId="0284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B228643">
            <w:pPr>
              <w:pStyle w:val="28"/>
            </w:pPr>
            <w:r>
              <w:t>最大效率</w:t>
            </w:r>
          </w:p>
        </w:tc>
        <w:tc>
          <w:tcPr>
            <w:tcW w:w="3104" w:type="pct"/>
            <w:vAlign w:val="center"/>
          </w:tcPr>
          <w:p w14:paraId="7685B52B">
            <w:pPr>
              <w:pStyle w:val="28"/>
            </w:pPr>
            <w:r>
              <w:t>≥99.02%</w:t>
            </w:r>
          </w:p>
        </w:tc>
      </w:tr>
      <w:tr w14:paraId="5A39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226B33C0">
            <w:pPr>
              <w:pStyle w:val="28"/>
            </w:pPr>
            <w:r>
              <w:t>中国效率</w:t>
            </w:r>
          </w:p>
        </w:tc>
        <w:tc>
          <w:tcPr>
            <w:tcW w:w="3104" w:type="pct"/>
            <w:vAlign w:val="center"/>
          </w:tcPr>
          <w:p w14:paraId="05AD08D9">
            <w:pPr>
              <w:pStyle w:val="28"/>
            </w:pPr>
            <w:r>
              <w:t>≥98.52%</w:t>
            </w:r>
          </w:p>
        </w:tc>
      </w:tr>
      <w:tr w14:paraId="3C42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000" w:type="pct"/>
            <w:gridSpan w:val="2"/>
            <w:vAlign w:val="center"/>
          </w:tcPr>
          <w:p w14:paraId="5E2E9622">
            <w:pPr>
              <w:pStyle w:val="28"/>
              <w:rPr>
                <w:b/>
                <w:kern w:val="0"/>
              </w:rPr>
            </w:pPr>
            <w:r>
              <w:rPr>
                <w:b/>
              </w:rPr>
              <w:t>保护</w:t>
            </w:r>
          </w:p>
        </w:tc>
      </w:tr>
      <w:tr w14:paraId="3CF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60ADC1BB">
            <w:pPr>
              <w:pStyle w:val="28"/>
            </w:pPr>
            <w:r>
              <w:t>直流反接保护</w:t>
            </w:r>
          </w:p>
        </w:tc>
        <w:tc>
          <w:tcPr>
            <w:tcW w:w="3104" w:type="pct"/>
            <w:vAlign w:val="center"/>
          </w:tcPr>
          <w:p w14:paraId="04EE173A">
            <w:pPr>
              <w:pStyle w:val="28"/>
            </w:pPr>
            <w:r>
              <w:t>具备</w:t>
            </w:r>
          </w:p>
        </w:tc>
      </w:tr>
      <w:tr w14:paraId="16DC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6D2035BD">
            <w:pPr>
              <w:pStyle w:val="28"/>
            </w:pPr>
            <w:r>
              <w:t>交流短路保护</w:t>
            </w:r>
          </w:p>
        </w:tc>
        <w:tc>
          <w:tcPr>
            <w:tcW w:w="3104" w:type="pct"/>
            <w:vAlign w:val="center"/>
          </w:tcPr>
          <w:p w14:paraId="07BA730C">
            <w:pPr>
              <w:pStyle w:val="28"/>
            </w:pPr>
            <w:r>
              <w:t>具备</w:t>
            </w:r>
          </w:p>
        </w:tc>
      </w:tr>
      <w:tr w14:paraId="4F60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CE98228">
            <w:pPr>
              <w:pStyle w:val="28"/>
            </w:pPr>
            <w:r>
              <w:t>漏电流保护</w:t>
            </w:r>
          </w:p>
        </w:tc>
        <w:tc>
          <w:tcPr>
            <w:tcW w:w="3104" w:type="pct"/>
            <w:vAlign w:val="center"/>
          </w:tcPr>
          <w:p w14:paraId="4532F7FF">
            <w:pPr>
              <w:pStyle w:val="28"/>
            </w:pPr>
            <w:r>
              <w:t>具备</w:t>
            </w:r>
          </w:p>
        </w:tc>
      </w:tr>
      <w:tr w14:paraId="71A2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E8D82F3">
            <w:pPr>
              <w:pStyle w:val="28"/>
            </w:pPr>
            <w:r>
              <w:t>电网监控</w:t>
            </w:r>
          </w:p>
        </w:tc>
        <w:tc>
          <w:tcPr>
            <w:tcW w:w="3104" w:type="pct"/>
            <w:vAlign w:val="center"/>
          </w:tcPr>
          <w:p w14:paraId="25E58815">
            <w:pPr>
              <w:pStyle w:val="28"/>
            </w:pPr>
            <w:r>
              <w:t>具备</w:t>
            </w:r>
          </w:p>
        </w:tc>
      </w:tr>
      <w:tr w14:paraId="7AC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7E17BBE2">
            <w:pPr>
              <w:pStyle w:val="28"/>
            </w:pPr>
            <w:r>
              <w:t>直流开关</w:t>
            </w:r>
          </w:p>
        </w:tc>
        <w:tc>
          <w:tcPr>
            <w:tcW w:w="3104" w:type="pct"/>
            <w:vAlign w:val="center"/>
          </w:tcPr>
          <w:p w14:paraId="6F8FCD4D">
            <w:pPr>
              <w:pStyle w:val="28"/>
            </w:pPr>
            <w:r>
              <w:t>具备</w:t>
            </w:r>
          </w:p>
        </w:tc>
      </w:tr>
      <w:tr w14:paraId="22AA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B843510">
            <w:pPr>
              <w:pStyle w:val="28"/>
            </w:pPr>
            <w:r>
              <w:t>孤岛保护</w:t>
            </w:r>
          </w:p>
        </w:tc>
        <w:tc>
          <w:tcPr>
            <w:tcW w:w="3104" w:type="pct"/>
            <w:vAlign w:val="center"/>
          </w:tcPr>
          <w:p w14:paraId="29F477F6">
            <w:pPr>
              <w:pStyle w:val="28"/>
            </w:pPr>
            <w:r>
              <w:t>具备</w:t>
            </w:r>
          </w:p>
        </w:tc>
      </w:tr>
      <w:tr w14:paraId="50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179DFAE">
            <w:pPr>
              <w:pStyle w:val="28"/>
            </w:pPr>
            <w:r>
              <w:t>组串检测</w:t>
            </w:r>
          </w:p>
        </w:tc>
        <w:tc>
          <w:tcPr>
            <w:tcW w:w="3104" w:type="pct"/>
            <w:vAlign w:val="center"/>
          </w:tcPr>
          <w:p w14:paraId="0B86DF58">
            <w:pPr>
              <w:pStyle w:val="28"/>
            </w:pPr>
            <w:r>
              <w:t>具备</w:t>
            </w:r>
          </w:p>
        </w:tc>
      </w:tr>
      <w:tr w14:paraId="4E17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D5D6276">
            <w:pPr>
              <w:pStyle w:val="28"/>
            </w:pPr>
            <w:r>
              <w:t>浪涌保护</w:t>
            </w:r>
          </w:p>
        </w:tc>
        <w:tc>
          <w:tcPr>
            <w:tcW w:w="3104" w:type="pct"/>
            <w:vAlign w:val="center"/>
          </w:tcPr>
          <w:p w14:paraId="129736A4">
            <w:pPr>
              <w:pStyle w:val="28"/>
            </w:pPr>
            <w:r>
              <w:t>直流二级/交流二级</w:t>
            </w:r>
          </w:p>
        </w:tc>
      </w:tr>
      <w:tr w14:paraId="4AB8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000" w:type="pct"/>
            <w:gridSpan w:val="2"/>
            <w:vAlign w:val="center"/>
          </w:tcPr>
          <w:p w14:paraId="065374E8">
            <w:pPr>
              <w:pStyle w:val="28"/>
              <w:rPr>
                <w:color w:val="000000"/>
              </w:rPr>
            </w:pPr>
            <w:r>
              <w:rPr>
                <w:b/>
              </w:rPr>
              <w:t>通用参数</w:t>
            </w:r>
          </w:p>
        </w:tc>
      </w:tr>
      <w:tr w14:paraId="7061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28EE3F9F">
            <w:pPr>
              <w:pStyle w:val="28"/>
            </w:pPr>
            <w:r>
              <w:t>尺寸</w:t>
            </w:r>
          </w:p>
        </w:tc>
        <w:tc>
          <w:tcPr>
            <w:tcW w:w="3104" w:type="pct"/>
            <w:vAlign w:val="center"/>
          </w:tcPr>
          <w:p w14:paraId="570B87AF">
            <w:pPr>
              <w:pStyle w:val="28"/>
            </w:pPr>
            <w:r>
              <w:t>1148</w:t>
            </w:r>
            <w:r>
              <w:rPr>
                <w:rFonts w:hint="eastAsia"/>
              </w:rPr>
              <w:t>×7</w:t>
            </w:r>
            <w:r>
              <w:t>79</w:t>
            </w:r>
            <w:r>
              <w:rPr>
                <w:rFonts w:hint="eastAsia"/>
              </w:rPr>
              <w:t>×</w:t>
            </w:r>
            <w:r>
              <w:t>371mm</w:t>
            </w:r>
            <w:r>
              <w:rPr>
                <w:rFonts w:hint="eastAsia"/>
              </w:rPr>
              <w:t>（</w:t>
            </w:r>
            <w:r>
              <w:t>宽*高*深</w:t>
            </w:r>
            <w:r>
              <w:rPr>
                <w:rFonts w:hint="eastAsia"/>
              </w:rPr>
              <w:t>）</w:t>
            </w:r>
          </w:p>
        </w:tc>
      </w:tr>
      <w:tr w14:paraId="1374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59D58ECC">
            <w:pPr>
              <w:pStyle w:val="28"/>
            </w:pPr>
            <w:r>
              <w:t>重量</w:t>
            </w:r>
          </w:p>
        </w:tc>
        <w:tc>
          <w:tcPr>
            <w:tcW w:w="3104" w:type="pct"/>
            <w:vAlign w:val="center"/>
          </w:tcPr>
          <w:p w14:paraId="70D416A0">
            <w:pPr>
              <w:pStyle w:val="28"/>
            </w:pPr>
            <w:r>
              <w:t>≤110kg</w:t>
            </w:r>
          </w:p>
        </w:tc>
      </w:tr>
      <w:tr w14:paraId="0C07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08F1A5A5">
            <w:pPr>
              <w:pStyle w:val="28"/>
            </w:pPr>
            <w:r>
              <w:t>安装方式</w:t>
            </w:r>
          </w:p>
        </w:tc>
        <w:tc>
          <w:tcPr>
            <w:tcW w:w="3104" w:type="pct"/>
            <w:vAlign w:val="center"/>
          </w:tcPr>
          <w:p w14:paraId="396C550D">
            <w:pPr>
              <w:pStyle w:val="28"/>
            </w:pPr>
            <w:r>
              <w:t>壁挂式</w:t>
            </w:r>
            <w:r>
              <w:rPr>
                <w:rFonts w:hint="eastAsia"/>
              </w:rPr>
              <w:t>/抱柱式</w:t>
            </w:r>
          </w:p>
        </w:tc>
      </w:tr>
      <w:tr w14:paraId="6A21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E12F98E">
            <w:pPr>
              <w:pStyle w:val="28"/>
            </w:pPr>
            <w:r>
              <w:t>隔离方式</w:t>
            </w:r>
          </w:p>
        </w:tc>
        <w:tc>
          <w:tcPr>
            <w:tcW w:w="3104" w:type="pct"/>
            <w:vAlign w:val="center"/>
          </w:tcPr>
          <w:p w14:paraId="58FC8258">
            <w:pPr>
              <w:pStyle w:val="28"/>
            </w:pPr>
            <w:r>
              <w:t>无变压器</w:t>
            </w:r>
          </w:p>
        </w:tc>
      </w:tr>
      <w:tr w14:paraId="32C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9D146C3">
            <w:pPr>
              <w:pStyle w:val="28"/>
            </w:pPr>
            <w:r>
              <w:t>防护等级</w:t>
            </w:r>
          </w:p>
        </w:tc>
        <w:tc>
          <w:tcPr>
            <w:tcW w:w="3104" w:type="pct"/>
            <w:vAlign w:val="center"/>
          </w:tcPr>
          <w:p w14:paraId="0C945D64">
            <w:pPr>
              <w:pStyle w:val="28"/>
            </w:pPr>
            <w:r>
              <w:t>IP66</w:t>
            </w:r>
          </w:p>
        </w:tc>
      </w:tr>
      <w:tr w14:paraId="302B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5DB338FD">
            <w:pPr>
              <w:pStyle w:val="28"/>
            </w:pPr>
            <w:r>
              <w:t>夜间自耗电</w:t>
            </w:r>
          </w:p>
        </w:tc>
        <w:tc>
          <w:tcPr>
            <w:tcW w:w="3104" w:type="pct"/>
            <w:vAlign w:val="center"/>
          </w:tcPr>
          <w:p w14:paraId="3F9E1F7F">
            <w:pPr>
              <w:pStyle w:val="28"/>
            </w:pPr>
            <w:r>
              <w:t>＜6W</w:t>
            </w:r>
          </w:p>
        </w:tc>
      </w:tr>
      <w:tr w14:paraId="50FD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0175C529">
            <w:pPr>
              <w:pStyle w:val="28"/>
            </w:pPr>
            <w:r>
              <w:t>工作温度范围</w:t>
            </w:r>
          </w:p>
        </w:tc>
        <w:tc>
          <w:tcPr>
            <w:tcW w:w="3104" w:type="pct"/>
            <w:vAlign w:val="center"/>
          </w:tcPr>
          <w:p w14:paraId="1E19707E">
            <w:pPr>
              <w:pStyle w:val="28"/>
            </w:pPr>
            <w:r>
              <w:t>-30～+60</w:t>
            </w:r>
            <w:r>
              <w:rPr>
                <w:rFonts w:hint="eastAsia" w:ascii="宋体" w:hAnsi="宋体" w:cs="宋体"/>
              </w:rPr>
              <w:t>℃</w:t>
            </w:r>
          </w:p>
        </w:tc>
      </w:tr>
      <w:tr w14:paraId="44BF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1F95C295">
            <w:pPr>
              <w:pStyle w:val="28"/>
            </w:pPr>
            <w:r>
              <w:t>工作湿度范围</w:t>
            </w:r>
          </w:p>
        </w:tc>
        <w:tc>
          <w:tcPr>
            <w:tcW w:w="3104" w:type="pct"/>
            <w:vAlign w:val="center"/>
          </w:tcPr>
          <w:p w14:paraId="4F5681D4">
            <w:pPr>
              <w:pStyle w:val="28"/>
            </w:pPr>
            <w:r>
              <w:t>0～100%</w:t>
            </w:r>
          </w:p>
        </w:tc>
      </w:tr>
      <w:tr w14:paraId="50DC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02E7FC40">
            <w:pPr>
              <w:pStyle w:val="28"/>
            </w:pPr>
            <w:r>
              <w:t>冷却方式</w:t>
            </w:r>
          </w:p>
        </w:tc>
        <w:tc>
          <w:tcPr>
            <w:tcW w:w="3104" w:type="pct"/>
            <w:vAlign w:val="center"/>
          </w:tcPr>
          <w:p w14:paraId="18C4CC3D">
            <w:pPr>
              <w:pStyle w:val="28"/>
            </w:pPr>
            <w:r>
              <w:t>智能风冷</w:t>
            </w:r>
          </w:p>
        </w:tc>
      </w:tr>
      <w:tr w14:paraId="4E27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232CA53A">
            <w:pPr>
              <w:pStyle w:val="28"/>
            </w:pPr>
            <w:r>
              <w:t>最高工作海拔</w:t>
            </w:r>
          </w:p>
        </w:tc>
        <w:tc>
          <w:tcPr>
            <w:tcW w:w="3104" w:type="pct"/>
            <w:vAlign w:val="center"/>
          </w:tcPr>
          <w:p w14:paraId="02CB5926">
            <w:pPr>
              <w:pStyle w:val="28"/>
            </w:pPr>
            <w:r>
              <w:t>5000m（＞4000m降额）</w:t>
            </w:r>
          </w:p>
        </w:tc>
      </w:tr>
      <w:tr w14:paraId="10DB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624AEE8C">
            <w:pPr>
              <w:pStyle w:val="28"/>
            </w:pPr>
            <w:r>
              <w:t>通讯</w:t>
            </w:r>
          </w:p>
        </w:tc>
        <w:tc>
          <w:tcPr>
            <w:tcW w:w="3104" w:type="pct"/>
            <w:vAlign w:val="center"/>
          </w:tcPr>
          <w:p w14:paraId="6FAE6811">
            <w:pPr>
              <w:pStyle w:val="28"/>
            </w:pPr>
            <w:r>
              <w:t>RS485/PLC</w:t>
            </w:r>
          </w:p>
        </w:tc>
      </w:tr>
      <w:tr w14:paraId="6863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49327FB5">
            <w:pPr>
              <w:pStyle w:val="28"/>
            </w:pPr>
            <w:r>
              <w:t>直流端子类型</w:t>
            </w:r>
          </w:p>
        </w:tc>
        <w:tc>
          <w:tcPr>
            <w:tcW w:w="3104" w:type="pct"/>
            <w:vAlign w:val="center"/>
          </w:tcPr>
          <w:p w14:paraId="315A1853">
            <w:pPr>
              <w:pStyle w:val="28"/>
            </w:pPr>
            <w:r>
              <w:t>CT75A-1T</w:t>
            </w:r>
          </w:p>
        </w:tc>
      </w:tr>
      <w:tr w14:paraId="5196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896" w:type="pct"/>
            <w:vAlign w:val="center"/>
          </w:tcPr>
          <w:p w14:paraId="5C6BA473">
            <w:pPr>
              <w:pStyle w:val="28"/>
            </w:pPr>
            <w:r>
              <w:t>交流端子类型</w:t>
            </w:r>
          </w:p>
        </w:tc>
        <w:tc>
          <w:tcPr>
            <w:tcW w:w="3104" w:type="pct"/>
            <w:vAlign w:val="center"/>
          </w:tcPr>
          <w:p w14:paraId="2890AF03">
            <w:pPr>
              <w:pStyle w:val="28"/>
            </w:pPr>
            <w:r>
              <w:t>OT/DT压接端子（最大400mm</w:t>
            </w:r>
            <w:r>
              <w:rPr>
                <w:vertAlign w:val="superscript"/>
              </w:rPr>
              <w:t>2</w:t>
            </w:r>
            <w:r>
              <w:t>）</w:t>
            </w:r>
          </w:p>
        </w:tc>
      </w:tr>
    </w:tbl>
    <w:p w14:paraId="3FB74E4A">
      <w:pPr>
        <w:pStyle w:val="23"/>
        <w:pageBreakBefore/>
        <w:numPr>
          <w:ilvl w:val="0"/>
          <w:numId w:val="5"/>
        </w:numPr>
      </w:pPr>
      <w:bookmarkStart w:id="46" w:name="_Toc4413"/>
      <w:r>
        <w:rPr>
          <w:rFonts w:hint="eastAsia"/>
        </w:rPr>
        <w:t>供货范围</w:t>
      </w:r>
      <w:bookmarkEnd w:id="46"/>
    </w:p>
    <w:p w14:paraId="6B1C82CD">
      <w:pPr>
        <w:spacing w:after="62" w:line="360" w:lineRule="auto"/>
        <w:ind w:firstLine="420"/>
        <w:rPr>
          <w:highlight w:val="none"/>
        </w:rPr>
      </w:pPr>
      <w:r>
        <w:rPr>
          <w:rFonts w:hint="eastAsia"/>
          <w:highlight w:val="none"/>
        </w:rPr>
        <w:t>供货设备</w:t>
      </w:r>
      <w:r>
        <w:rPr>
          <w:rFonts w:hint="eastAsia" w:ascii="宋体" w:hAnsi="宋体" w:eastAsia="宋体" w:cs="Arial"/>
          <w:color w:val="auto"/>
          <w:szCs w:val="24"/>
          <w:highlight w:val="none"/>
        </w:rPr>
        <w:t>场址高程在1199m～1434m之间，</w:t>
      </w:r>
      <w:r>
        <w:rPr>
          <w:rFonts w:hint="eastAsia" w:ascii="宋体" w:hAnsi="宋体" w:eastAsia="宋体" w:cs="Arial"/>
          <w:color w:val="auto"/>
          <w:szCs w:val="24"/>
          <w:highlight w:val="none"/>
          <w:lang w:val="en-US" w:eastAsia="zh-CN"/>
        </w:rPr>
        <w:t>污秽等级E级，本工程要求按照海拔高度1500米进行修正。本工程逆变器需要满足云南电网对于一次调频以及有功、无功调节的要求。</w:t>
      </w:r>
    </w:p>
    <w:p w14:paraId="1CA92782">
      <w:pPr>
        <w:pStyle w:val="26"/>
        <w:numPr>
          <w:ilvl w:val="8"/>
          <w:numId w:val="5"/>
        </w:numPr>
      </w:pPr>
      <w:r>
        <w:rPr>
          <w:rFonts w:hint="eastAsia"/>
        </w:rPr>
        <w:t>供货设备</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7"/>
        <w:gridCol w:w="1647"/>
        <w:gridCol w:w="1498"/>
        <w:gridCol w:w="596"/>
        <w:gridCol w:w="816"/>
        <w:gridCol w:w="1326"/>
        <w:gridCol w:w="3083"/>
      </w:tblGrid>
      <w:tr w14:paraId="54B8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jc w:val="center"/>
        </w:trPr>
        <w:tc>
          <w:tcPr>
            <w:tcW w:w="307" w:type="pct"/>
            <w:vAlign w:val="center"/>
          </w:tcPr>
          <w:p w14:paraId="69A1C0F0">
            <w:pPr>
              <w:pStyle w:val="27"/>
            </w:pPr>
            <w:r>
              <w:t>序号</w:t>
            </w:r>
          </w:p>
        </w:tc>
        <w:tc>
          <w:tcPr>
            <w:tcW w:w="862" w:type="pct"/>
            <w:vAlign w:val="center"/>
          </w:tcPr>
          <w:p w14:paraId="7D739E6F">
            <w:pPr>
              <w:pStyle w:val="27"/>
            </w:pPr>
            <w:r>
              <w:t>名称</w:t>
            </w:r>
          </w:p>
        </w:tc>
        <w:tc>
          <w:tcPr>
            <w:tcW w:w="784" w:type="pct"/>
            <w:vAlign w:val="center"/>
          </w:tcPr>
          <w:p w14:paraId="57921410">
            <w:pPr>
              <w:pStyle w:val="27"/>
            </w:pPr>
            <w:r>
              <w:t>规格和型号</w:t>
            </w:r>
          </w:p>
        </w:tc>
        <w:tc>
          <w:tcPr>
            <w:tcW w:w="312" w:type="pct"/>
            <w:vAlign w:val="center"/>
          </w:tcPr>
          <w:p w14:paraId="1A18A0E0">
            <w:pPr>
              <w:pStyle w:val="27"/>
            </w:pPr>
            <w:r>
              <w:t>单位</w:t>
            </w:r>
          </w:p>
        </w:tc>
        <w:tc>
          <w:tcPr>
            <w:tcW w:w="427" w:type="pct"/>
            <w:vAlign w:val="center"/>
          </w:tcPr>
          <w:p w14:paraId="3DE07CE7">
            <w:pPr>
              <w:pStyle w:val="27"/>
            </w:pPr>
            <w:r>
              <w:t>数量</w:t>
            </w:r>
          </w:p>
        </w:tc>
        <w:tc>
          <w:tcPr>
            <w:tcW w:w="694" w:type="pct"/>
            <w:vAlign w:val="center"/>
          </w:tcPr>
          <w:p w14:paraId="6824875A">
            <w:pPr>
              <w:pStyle w:val="27"/>
            </w:pPr>
            <w:r>
              <w:t>生产厂家</w:t>
            </w:r>
          </w:p>
        </w:tc>
        <w:tc>
          <w:tcPr>
            <w:tcW w:w="1613" w:type="pct"/>
            <w:vAlign w:val="center"/>
          </w:tcPr>
          <w:p w14:paraId="5C6974F0">
            <w:pPr>
              <w:pStyle w:val="27"/>
            </w:pPr>
            <w:r>
              <w:t>备注</w:t>
            </w:r>
          </w:p>
        </w:tc>
      </w:tr>
      <w:tr w14:paraId="02CB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307" w:type="pct"/>
            <w:vAlign w:val="center"/>
          </w:tcPr>
          <w:p w14:paraId="3508681F">
            <w:pPr>
              <w:pStyle w:val="28"/>
            </w:pPr>
            <w:r>
              <w:t>1</w:t>
            </w:r>
          </w:p>
        </w:tc>
        <w:tc>
          <w:tcPr>
            <w:tcW w:w="862" w:type="pct"/>
            <w:vAlign w:val="center"/>
          </w:tcPr>
          <w:p w14:paraId="1E8F4FCB">
            <w:pPr>
              <w:pStyle w:val="28"/>
            </w:pPr>
            <w:r>
              <w:t>组串式逆变器</w:t>
            </w:r>
          </w:p>
        </w:tc>
        <w:tc>
          <w:tcPr>
            <w:tcW w:w="784" w:type="pct"/>
            <w:vAlign w:val="center"/>
          </w:tcPr>
          <w:p w14:paraId="7AF4F31D">
            <w:pPr>
              <w:pStyle w:val="28"/>
            </w:pPr>
            <w:r>
              <w:t>SG320HX</w:t>
            </w:r>
            <w:r>
              <w:rPr>
                <w:rFonts w:hint="eastAsia"/>
              </w:rPr>
              <w:t>-</w:t>
            </w:r>
            <w:r>
              <w:t>20</w:t>
            </w:r>
          </w:p>
        </w:tc>
        <w:tc>
          <w:tcPr>
            <w:tcW w:w="312" w:type="pct"/>
            <w:vAlign w:val="center"/>
          </w:tcPr>
          <w:p w14:paraId="221F8D9B">
            <w:pPr>
              <w:pStyle w:val="28"/>
            </w:pPr>
            <w:r>
              <w:t>台</w:t>
            </w:r>
          </w:p>
        </w:tc>
        <w:tc>
          <w:tcPr>
            <w:tcW w:w="427" w:type="pct"/>
            <w:vAlign w:val="center"/>
          </w:tcPr>
          <w:p w14:paraId="2F8846B5">
            <w:pPr>
              <w:pStyle w:val="28"/>
              <w:rPr>
                <w:rFonts w:hint="default" w:eastAsia="宋体"/>
                <w:lang w:val="en-US" w:eastAsia="zh-CN"/>
              </w:rPr>
            </w:pPr>
            <w:r>
              <w:rPr>
                <w:rFonts w:hint="eastAsia"/>
                <w:lang w:val="en-US" w:eastAsia="zh-CN"/>
              </w:rPr>
              <w:t>157</w:t>
            </w:r>
          </w:p>
        </w:tc>
        <w:tc>
          <w:tcPr>
            <w:tcW w:w="694" w:type="pct"/>
            <w:vAlign w:val="center"/>
          </w:tcPr>
          <w:p w14:paraId="1A0D479A">
            <w:pPr>
              <w:pStyle w:val="28"/>
            </w:pPr>
            <w:r>
              <w:t>SUNGROW</w:t>
            </w:r>
          </w:p>
        </w:tc>
        <w:tc>
          <w:tcPr>
            <w:tcW w:w="1613" w:type="pct"/>
            <w:vAlign w:val="center"/>
          </w:tcPr>
          <w:p w14:paraId="0A809B1E">
            <w:pPr>
              <w:pStyle w:val="28"/>
            </w:pPr>
            <w:r>
              <w:rPr>
                <w:rFonts w:hint="eastAsia"/>
              </w:rPr>
              <w:t>含安装背板、直流输入</w:t>
            </w:r>
            <w:r>
              <w:t>CT75A-1T</w:t>
            </w:r>
            <w:r>
              <w:rPr>
                <w:rFonts w:hint="eastAsia"/>
              </w:rPr>
              <w:t>端子</w:t>
            </w:r>
          </w:p>
        </w:tc>
      </w:tr>
      <w:tr w14:paraId="5FB4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307" w:type="pct"/>
            <w:vAlign w:val="center"/>
          </w:tcPr>
          <w:p w14:paraId="535D3AFD">
            <w:pPr>
              <w:pStyle w:val="28"/>
            </w:pPr>
            <w:r>
              <w:rPr>
                <w:rFonts w:hint="eastAsia"/>
              </w:rPr>
              <w:t>2</w:t>
            </w:r>
          </w:p>
        </w:tc>
        <w:tc>
          <w:tcPr>
            <w:tcW w:w="862" w:type="pct"/>
            <w:vAlign w:val="center"/>
          </w:tcPr>
          <w:p w14:paraId="3AACCF3C">
            <w:pPr>
              <w:pStyle w:val="28"/>
            </w:pPr>
            <w:r>
              <w:rPr>
                <w:rFonts w:hint="eastAsia"/>
              </w:rPr>
              <w:t>通讯箱（能量管理单元）</w:t>
            </w:r>
          </w:p>
        </w:tc>
        <w:tc>
          <w:tcPr>
            <w:tcW w:w="784" w:type="pct"/>
            <w:vAlign w:val="center"/>
          </w:tcPr>
          <w:p w14:paraId="1296FAAE">
            <w:pPr>
              <w:pStyle w:val="28"/>
            </w:pPr>
            <w:r>
              <w:rPr>
                <w:rFonts w:hint="eastAsia"/>
              </w:rPr>
              <w:t>E</w:t>
            </w:r>
            <w:r>
              <w:t>MU200A</w:t>
            </w:r>
          </w:p>
        </w:tc>
        <w:tc>
          <w:tcPr>
            <w:tcW w:w="312" w:type="pct"/>
            <w:vAlign w:val="center"/>
          </w:tcPr>
          <w:p w14:paraId="451B9C6F">
            <w:pPr>
              <w:pStyle w:val="28"/>
            </w:pPr>
            <w:r>
              <w:rPr>
                <w:rFonts w:hint="eastAsia"/>
              </w:rPr>
              <w:t>台</w:t>
            </w:r>
          </w:p>
        </w:tc>
        <w:tc>
          <w:tcPr>
            <w:tcW w:w="427" w:type="pct"/>
            <w:vAlign w:val="center"/>
          </w:tcPr>
          <w:p w14:paraId="4F4D2324">
            <w:pPr>
              <w:pStyle w:val="28"/>
              <w:rPr>
                <w:rFonts w:hint="default" w:eastAsia="宋体"/>
                <w:lang w:val="en-US" w:eastAsia="zh-CN"/>
              </w:rPr>
            </w:pPr>
            <w:r>
              <w:rPr>
                <w:rFonts w:hint="eastAsia"/>
                <w:lang w:val="en-US" w:eastAsia="zh-CN"/>
              </w:rPr>
              <w:t>17</w:t>
            </w:r>
          </w:p>
        </w:tc>
        <w:tc>
          <w:tcPr>
            <w:tcW w:w="694" w:type="pct"/>
            <w:vAlign w:val="center"/>
          </w:tcPr>
          <w:p w14:paraId="5D4A0D98">
            <w:pPr>
              <w:pStyle w:val="28"/>
            </w:pPr>
            <w:r>
              <w:t>SUNGROW</w:t>
            </w:r>
          </w:p>
        </w:tc>
        <w:tc>
          <w:tcPr>
            <w:tcW w:w="1613" w:type="pct"/>
            <w:vAlign w:val="center"/>
          </w:tcPr>
          <w:p w14:paraId="7CF8612C">
            <w:pPr>
              <w:pStyle w:val="28"/>
            </w:pPr>
            <w:r>
              <w:rPr>
                <w:rFonts w:hint="eastAsia"/>
              </w:rPr>
              <w:t>具备数据采集器，宽带P</w:t>
            </w:r>
            <w:r>
              <w:t>LC</w:t>
            </w:r>
            <w:r>
              <w:rPr>
                <w:rFonts w:hint="eastAsia"/>
              </w:rPr>
              <w:t>模块</w:t>
            </w:r>
          </w:p>
        </w:tc>
      </w:tr>
    </w:tbl>
    <w:p w14:paraId="6A8F60D1">
      <w:pPr>
        <w:pStyle w:val="29"/>
        <w:numPr>
          <w:ilvl w:val="1"/>
          <w:numId w:val="5"/>
        </w:numPr>
      </w:pPr>
      <w:bookmarkStart w:id="47" w:name="_Toc25747"/>
      <w:bookmarkStart w:id="48" w:name="_Toc113522167"/>
      <w:r>
        <w:rPr>
          <w:rFonts w:hint="eastAsia"/>
        </w:rPr>
        <w:t>专用工具</w:t>
      </w:r>
      <w:bookmarkEnd w:id="47"/>
      <w:bookmarkEnd w:id="48"/>
    </w:p>
    <w:p w14:paraId="74BC2FFE">
      <w:pPr>
        <w:pStyle w:val="26"/>
        <w:numPr>
          <w:ilvl w:val="8"/>
          <w:numId w:val="5"/>
        </w:numPr>
      </w:pPr>
      <w:r>
        <w:rPr>
          <w:rFonts w:hint="eastAsia"/>
        </w:rPr>
        <w:t>专用工具</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5"/>
        <w:gridCol w:w="2029"/>
        <w:gridCol w:w="2029"/>
        <w:gridCol w:w="725"/>
        <w:gridCol w:w="1013"/>
        <w:gridCol w:w="1306"/>
        <w:gridCol w:w="1736"/>
      </w:tblGrid>
      <w:tr w14:paraId="29F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jc w:val="center"/>
        </w:trPr>
        <w:tc>
          <w:tcPr>
            <w:tcW w:w="374" w:type="pct"/>
            <w:vAlign w:val="center"/>
          </w:tcPr>
          <w:p w14:paraId="7782A7E3">
            <w:pPr>
              <w:pStyle w:val="27"/>
            </w:pPr>
            <w:r>
              <w:t>序号</w:t>
            </w:r>
          </w:p>
        </w:tc>
        <w:tc>
          <w:tcPr>
            <w:tcW w:w="1061" w:type="pct"/>
            <w:vAlign w:val="center"/>
          </w:tcPr>
          <w:p w14:paraId="6A6F9823">
            <w:pPr>
              <w:pStyle w:val="27"/>
            </w:pPr>
            <w:r>
              <w:t>名称</w:t>
            </w:r>
          </w:p>
        </w:tc>
        <w:tc>
          <w:tcPr>
            <w:tcW w:w="1061" w:type="pct"/>
            <w:vAlign w:val="center"/>
          </w:tcPr>
          <w:p w14:paraId="562C6D7A">
            <w:pPr>
              <w:pStyle w:val="27"/>
            </w:pPr>
            <w:r>
              <w:t>规格和型号</w:t>
            </w:r>
          </w:p>
        </w:tc>
        <w:tc>
          <w:tcPr>
            <w:tcW w:w="379" w:type="pct"/>
            <w:vAlign w:val="center"/>
          </w:tcPr>
          <w:p w14:paraId="0170B758">
            <w:pPr>
              <w:pStyle w:val="27"/>
            </w:pPr>
            <w:r>
              <w:t>单位</w:t>
            </w:r>
          </w:p>
        </w:tc>
        <w:tc>
          <w:tcPr>
            <w:tcW w:w="530" w:type="pct"/>
            <w:vAlign w:val="center"/>
          </w:tcPr>
          <w:p w14:paraId="5C364C29">
            <w:pPr>
              <w:pStyle w:val="27"/>
            </w:pPr>
            <w:r>
              <w:t>数量</w:t>
            </w:r>
          </w:p>
        </w:tc>
        <w:tc>
          <w:tcPr>
            <w:tcW w:w="683" w:type="pct"/>
            <w:vAlign w:val="center"/>
          </w:tcPr>
          <w:p w14:paraId="2A14ACA5">
            <w:pPr>
              <w:pStyle w:val="27"/>
            </w:pPr>
            <w:r>
              <w:t>生产厂家</w:t>
            </w:r>
          </w:p>
        </w:tc>
        <w:tc>
          <w:tcPr>
            <w:tcW w:w="908" w:type="pct"/>
            <w:vAlign w:val="center"/>
          </w:tcPr>
          <w:p w14:paraId="762FFC85">
            <w:pPr>
              <w:pStyle w:val="27"/>
            </w:pPr>
            <w:r>
              <w:t>备注</w:t>
            </w:r>
          </w:p>
        </w:tc>
      </w:tr>
      <w:tr w14:paraId="43F4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374" w:type="pct"/>
            <w:vAlign w:val="center"/>
          </w:tcPr>
          <w:p w14:paraId="16BF4B15">
            <w:pPr>
              <w:pStyle w:val="28"/>
            </w:pPr>
            <w:r>
              <w:t>1</w:t>
            </w:r>
          </w:p>
        </w:tc>
        <w:tc>
          <w:tcPr>
            <w:tcW w:w="1061" w:type="pct"/>
            <w:vAlign w:val="center"/>
          </w:tcPr>
          <w:p w14:paraId="43B02644">
            <w:pPr>
              <w:pStyle w:val="28"/>
            </w:pPr>
            <w:r>
              <w:rPr>
                <w:rFonts w:hint="eastAsia"/>
              </w:rPr>
              <w:t>逆变器</w:t>
            </w:r>
            <w:r>
              <w:t>拆卸工具</w:t>
            </w:r>
          </w:p>
        </w:tc>
        <w:tc>
          <w:tcPr>
            <w:tcW w:w="1061" w:type="pct"/>
            <w:vAlign w:val="center"/>
          </w:tcPr>
          <w:p w14:paraId="57B8DD09">
            <w:pPr>
              <w:pStyle w:val="28"/>
            </w:pPr>
            <w:r>
              <w:rPr>
                <w:rFonts w:hint="eastAsia"/>
              </w:rPr>
              <w:t>T</w:t>
            </w:r>
            <w:r>
              <w:t>30</w:t>
            </w:r>
            <w:r>
              <w:rPr>
                <w:rFonts w:hint="eastAsia"/>
              </w:rPr>
              <w:t>扳手</w:t>
            </w:r>
          </w:p>
        </w:tc>
        <w:tc>
          <w:tcPr>
            <w:tcW w:w="379" w:type="pct"/>
            <w:vAlign w:val="center"/>
          </w:tcPr>
          <w:p w14:paraId="6A049668">
            <w:pPr>
              <w:pStyle w:val="28"/>
            </w:pPr>
            <w:r>
              <w:rPr>
                <w:rFonts w:hint="eastAsia"/>
              </w:rPr>
              <w:t>个</w:t>
            </w:r>
          </w:p>
        </w:tc>
        <w:tc>
          <w:tcPr>
            <w:tcW w:w="530" w:type="pct"/>
            <w:vAlign w:val="center"/>
          </w:tcPr>
          <w:p w14:paraId="4D0B0273">
            <w:pPr>
              <w:pStyle w:val="28"/>
              <w:rPr>
                <w:rFonts w:hint="default" w:eastAsia="宋体"/>
                <w:lang w:val="en-US" w:eastAsia="zh-CN"/>
              </w:rPr>
            </w:pPr>
            <w:r>
              <w:rPr>
                <w:rFonts w:hint="eastAsia"/>
                <w:lang w:val="en-US" w:eastAsia="zh-CN"/>
              </w:rPr>
              <w:t>157</w:t>
            </w:r>
          </w:p>
        </w:tc>
        <w:tc>
          <w:tcPr>
            <w:tcW w:w="683" w:type="pct"/>
            <w:vAlign w:val="center"/>
          </w:tcPr>
          <w:p w14:paraId="3A69DA7B">
            <w:pPr>
              <w:pStyle w:val="28"/>
            </w:pPr>
            <w:r>
              <w:rPr>
                <w:rFonts w:hint="eastAsia"/>
              </w:rPr>
              <w:t>国内知名厂家</w:t>
            </w:r>
          </w:p>
        </w:tc>
        <w:tc>
          <w:tcPr>
            <w:tcW w:w="908" w:type="pct"/>
            <w:vAlign w:val="center"/>
          </w:tcPr>
          <w:p w14:paraId="09EF7F52">
            <w:pPr>
              <w:pStyle w:val="28"/>
            </w:pPr>
            <w:r>
              <w:rPr>
                <w:rFonts w:hint="eastAsia"/>
              </w:rPr>
              <w:t>在设备随机包装附件内发货，每台一个</w:t>
            </w:r>
          </w:p>
        </w:tc>
      </w:tr>
      <w:tr w14:paraId="0A12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374" w:type="pct"/>
            <w:vAlign w:val="center"/>
          </w:tcPr>
          <w:p w14:paraId="3DA706DD">
            <w:pPr>
              <w:pStyle w:val="28"/>
            </w:pPr>
            <w:r>
              <w:rPr>
                <w:rFonts w:hint="eastAsia"/>
              </w:rPr>
              <w:t>2</w:t>
            </w:r>
          </w:p>
        </w:tc>
        <w:tc>
          <w:tcPr>
            <w:tcW w:w="1061" w:type="pct"/>
            <w:vAlign w:val="center"/>
          </w:tcPr>
          <w:p w14:paraId="4BBF1531">
            <w:pPr>
              <w:pStyle w:val="28"/>
            </w:pPr>
            <w:r>
              <w:rPr>
                <w:rFonts w:hint="eastAsia"/>
              </w:rPr>
              <w:t>直流端子拆卸工具</w:t>
            </w:r>
          </w:p>
        </w:tc>
        <w:tc>
          <w:tcPr>
            <w:tcW w:w="1061" w:type="pct"/>
            <w:vAlign w:val="center"/>
          </w:tcPr>
          <w:p w14:paraId="7C9CC885">
            <w:pPr>
              <w:pStyle w:val="28"/>
            </w:pPr>
            <w:r>
              <w:rPr>
                <w:rFonts w:hint="eastAsia"/>
              </w:rPr>
              <w:t>尼龙扳手</w:t>
            </w:r>
          </w:p>
        </w:tc>
        <w:tc>
          <w:tcPr>
            <w:tcW w:w="379" w:type="pct"/>
            <w:vAlign w:val="center"/>
          </w:tcPr>
          <w:p w14:paraId="25C5A0B6">
            <w:pPr>
              <w:pStyle w:val="28"/>
            </w:pPr>
            <w:r>
              <w:rPr>
                <w:rFonts w:hint="eastAsia"/>
              </w:rPr>
              <w:t>个</w:t>
            </w:r>
          </w:p>
        </w:tc>
        <w:tc>
          <w:tcPr>
            <w:tcW w:w="530" w:type="pct"/>
            <w:vAlign w:val="center"/>
          </w:tcPr>
          <w:p w14:paraId="29B32C7A">
            <w:pPr>
              <w:pStyle w:val="28"/>
              <w:rPr>
                <w:rFonts w:hint="default" w:eastAsia="宋体"/>
                <w:lang w:val="en-US" w:eastAsia="zh-CN"/>
              </w:rPr>
            </w:pPr>
            <w:r>
              <w:rPr>
                <w:rFonts w:hint="eastAsia"/>
                <w:lang w:val="en-US" w:eastAsia="zh-CN"/>
              </w:rPr>
              <w:t>157</w:t>
            </w:r>
          </w:p>
        </w:tc>
        <w:tc>
          <w:tcPr>
            <w:tcW w:w="683" w:type="pct"/>
            <w:vAlign w:val="center"/>
          </w:tcPr>
          <w:p w14:paraId="59BE0D4D">
            <w:pPr>
              <w:pStyle w:val="28"/>
            </w:pPr>
            <w:r>
              <w:rPr>
                <w:rFonts w:hint="eastAsia"/>
              </w:rPr>
              <w:t>国内知名厂家</w:t>
            </w:r>
          </w:p>
        </w:tc>
        <w:tc>
          <w:tcPr>
            <w:tcW w:w="908" w:type="pct"/>
            <w:vAlign w:val="center"/>
          </w:tcPr>
          <w:p w14:paraId="6B1119AA">
            <w:pPr>
              <w:pStyle w:val="28"/>
            </w:pPr>
            <w:r>
              <w:rPr>
                <w:rFonts w:hint="eastAsia"/>
              </w:rPr>
              <w:t>在设备随机包装附件内发货，每台一个</w:t>
            </w:r>
          </w:p>
        </w:tc>
      </w:tr>
    </w:tbl>
    <w:p w14:paraId="25EECCD7">
      <w:pPr>
        <w:pStyle w:val="29"/>
        <w:numPr>
          <w:ilvl w:val="1"/>
          <w:numId w:val="5"/>
        </w:numPr>
      </w:pPr>
      <w:bookmarkStart w:id="49" w:name="_Toc113522168"/>
      <w:bookmarkStart w:id="50" w:name="_Toc24843"/>
      <w:r>
        <w:rPr>
          <w:rFonts w:hint="eastAsia"/>
        </w:rPr>
        <w:t>备品备件</w:t>
      </w:r>
      <w:bookmarkEnd w:id="49"/>
      <w:bookmarkEnd w:id="50"/>
    </w:p>
    <w:p w14:paraId="31994CC9">
      <w:pPr>
        <w:pStyle w:val="26"/>
        <w:numPr>
          <w:ilvl w:val="8"/>
          <w:numId w:val="5"/>
        </w:numPr>
      </w:pPr>
      <w:r>
        <w:rPr>
          <w:rFonts w:hint="eastAsia"/>
        </w:rPr>
        <w:t>备品备件</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5"/>
        <w:gridCol w:w="2029"/>
        <w:gridCol w:w="2029"/>
        <w:gridCol w:w="725"/>
        <w:gridCol w:w="1013"/>
        <w:gridCol w:w="1306"/>
        <w:gridCol w:w="1736"/>
      </w:tblGrid>
      <w:tr w14:paraId="0674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jc w:val="center"/>
        </w:trPr>
        <w:tc>
          <w:tcPr>
            <w:tcW w:w="374" w:type="pct"/>
            <w:vAlign w:val="center"/>
          </w:tcPr>
          <w:p w14:paraId="389D4556">
            <w:pPr>
              <w:pStyle w:val="27"/>
            </w:pPr>
            <w:r>
              <w:t>序号</w:t>
            </w:r>
          </w:p>
        </w:tc>
        <w:tc>
          <w:tcPr>
            <w:tcW w:w="1061" w:type="pct"/>
            <w:vAlign w:val="center"/>
          </w:tcPr>
          <w:p w14:paraId="0479BBF4">
            <w:pPr>
              <w:pStyle w:val="27"/>
            </w:pPr>
            <w:r>
              <w:t>名称</w:t>
            </w:r>
          </w:p>
        </w:tc>
        <w:tc>
          <w:tcPr>
            <w:tcW w:w="1061" w:type="pct"/>
            <w:vAlign w:val="center"/>
          </w:tcPr>
          <w:p w14:paraId="4D2C2C99">
            <w:pPr>
              <w:pStyle w:val="27"/>
            </w:pPr>
            <w:r>
              <w:t>规格和型号</w:t>
            </w:r>
          </w:p>
        </w:tc>
        <w:tc>
          <w:tcPr>
            <w:tcW w:w="379" w:type="pct"/>
            <w:vAlign w:val="center"/>
          </w:tcPr>
          <w:p w14:paraId="32B7C2D3">
            <w:pPr>
              <w:pStyle w:val="27"/>
            </w:pPr>
            <w:r>
              <w:t>单位</w:t>
            </w:r>
          </w:p>
        </w:tc>
        <w:tc>
          <w:tcPr>
            <w:tcW w:w="530" w:type="pct"/>
            <w:vAlign w:val="center"/>
          </w:tcPr>
          <w:p w14:paraId="4EB9D8F1">
            <w:pPr>
              <w:pStyle w:val="27"/>
            </w:pPr>
            <w:r>
              <w:t>数量</w:t>
            </w:r>
          </w:p>
        </w:tc>
        <w:tc>
          <w:tcPr>
            <w:tcW w:w="683" w:type="pct"/>
            <w:vAlign w:val="center"/>
          </w:tcPr>
          <w:p w14:paraId="4AC4698C">
            <w:pPr>
              <w:pStyle w:val="27"/>
            </w:pPr>
            <w:r>
              <w:t>生产厂家</w:t>
            </w:r>
          </w:p>
        </w:tc>
        <w:tc>
          <w:tcPr>
            <w:tcW w:w="908" w:type="pct"/>
            <w:vAlign w:val="center"/>
          </w:tcPr>
          <w:p w14:paraId="6C11EB16">
            <w:pPr>
              <w:pStyle w:val="27"/>
            </w:pPr>
            <w:r>
              <w:t>备注</w:t>
            </w:r>
          </w:p>
        </w:tc>
      </w:tr>
      <w:tr w14:paraId="75C1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374" w:type="pct"/>
            <w:vAlign w:val="center"/>
          </w:tcPr>
          <w:p w14:paraId="413518D0">
            <w:pPr>
              <w:pStyle w:val="28"/>
            </w:pPr>
            <w:r>
              <w:t>1</w:t>
            </w:r>
          </w:p>
        </w:tc>
        <w:tc>
          <w:tcPr>
            <w:tcW w:w="1061" w:type="pct"/>
            <w:vAlign w:val="center"/>
          </w:tcPr>
          <w:p w14:paraId="2D05BC6E">
            <w:pPr>
              <w:pStyle w:val="28"/>
              <w:rPr>
                <w:rFonts w:hint="eastAsia" w:ascii="Arial" w:hAnsi="Arial" w:cs="Arial"/>
              </w:rPr>
            </w:pPr>
            <w:r>
              <w:rPr>
                <w:rFonts w:hint="eastAsia" w:ascii="Arial" w:hAnsi="Arial" w:cs="Arial"/>
              </w:rPr>
              <w:t>直流输入端子</w:t>
            </w:r>
          </w:p>
        </w:tc>
        <w:tc>
          <w:tcPr>
            <w:tcW w:w="1061" w:type="pct"/>
            <w:vAlign w:val="center"/>
          </w:tcPr>
          <w:p w14:paraId="501A8BC5">
            <w:pPr>
              <w:pStyle w:val="28"/>
              <w:rPr>
                <w:rFonts w:hint="eastAsia" w:ascii="Arial" w:hAnsi="Arial" w:cs="Arial"/>
              </w:rPr>
            </w:pPr>
            <w:r>
              <w:rPr>
                <w:rFonts w:hint="eastAsia" w:ascii="Arial" w:hAnsi="Arial" w:cs="Arial"/>
              </w:rPr>
              <w:t>CT75A-1T</w:t>
            </w:r>
          </w:p>
        </w:tc>
        <w:tc>
          <w:tcPr>
            <w:tcW w:w="379" w:type="pct"/>
            <w:vAlign w:val="center"/>
          </w:tcPr>
          <w:p w14:paraId="2570ED2B">
            <w:pPr>
              <w:pStyle w:val="28"/>
              <w:rPr>
                <w:rFonts w:hint="eastAsia" w:ascii="Arial" w:hAnsi="Arial" w:cs="Arial"/>
              </w:rPr>
            </w:pPr>
            <w:r>
              <w:rPr>
                <w:rFonts w:hint="eastAsia" w:ascii="Arial" w:hAnsi="Arial" w:cs="Arial"/>
              </w:rPr>
              <w:t>对</w:t>
            </w:r>
          </w:p>
        </w:tc>
        <w:tc>
          <w:tcPr>
            <w:tcW w:w="530" w:type="pct"/>
            <w:vAlign w:val="center"/>
          </w:tcPr>
          <w:p w14:paraId="784753F9">
            <w:pPr>
              <w:pStyle w:val="28"/>
              <w:rPr>
                <w:rFonts w:hint="default" w:ascii="Arial" w:hAnsi="Arial" w:eastAsia="宋体" w:cs="Arial"/>
                <w:lang w:val="en-US" w:eastAsia="zh-CN"/>
              </w:rPr>
            </w:pPr>
            <w:r>
              <w:rPr>
                <w:rFonts w:hint="eastAsia" w:ascii="Arial" w:hAnsi="Arial" w:cs="Arial"/>
                <w:lang w:val="en-US" w:eastAsia="zh-CN"/>
              </w:rPr>
              <w:t>10</w:t>
            </w:r>
          </w:p>
        </w:tc>
        <w:tc>
          <w:tcPr>
            <w:tcW w:w="683" w:type="pct"/>
            <w:vAlign w:val="center"/>
          </w:tcPr>
          <w:p w14:paraId="636D70FD">
            <w:pPr>
              <w:pStyle w:val="28"/>
              <w:rPr>
                <w:rFonts w:hint="eastAsia" w:ascii="Arial" w:hAnsi="Arial" w:cs="Arial"/>
              </w:rPr>
            </w:pPr>
            <w:r>
              <w:rPr>
                <w:rFonts w:hint="eastAsia" w:ascii="Arial" w:hAnsi="Arial" w:cs="Arial"/>
              </w:rPr>
              <w:t>国内/外知名厂家</w:t>
            </w:r>
          </w:p>
        </w:tc>
        <w:tc>
          <w:tcPr>
            <w:tcW w:w="908" w:type="pct"/>
            <w:vAlign w:val="center"/>
          </w:tcPr>
          <w:p w14:paraId="78948BB9">
            <w:pPr>
              <w:pStyle w:val="28"/>
              <w:rPr>
                <w:rFonts w:hint="default" w:ascii="Arial" w:hAnsi="Arial" w:eastAsia="宋体" w:cs="Arial"/>
                <w:lang w:val="en-US" w:eastAsia="zh-CN"/>
              </w:rPr>
            </w:pPr>
            <w:r>
              <w:rPr>
                <w:rFonts w:hint="eastAsia" w:ascii="Arial" w:hAnsi="Arial" w:cs="Arial"/>
                <w:lang w:val="en-US" w:eastAsia="zh-CN"/>
              </w:rPr>
              <w:t>同等</w:t>
            </w:r>
          </w:p>
        </w:tc>
      </w:tr>
    </w:tbl>
    <w:p w14:paraId="03A6011A">
      <w:r>
        <w:rPr>
          <w:rFonts w:hint="eastAsia"/>
        </w:rPr>
        <w:br w:type="page"/>
      </w:r>
    </w:p>
    <w:p w14:paraId="1EF707E8">
      <w:pPr>
        <w:pStyle w:val="23"/>
        <w:numPr>
          <w:ilvl w:val="0"/>
          <w:numId w:val="5"/>
        </w:numPr>
      </w:pPr>
      <w:bookmarkStart w:id="51" w:name="_Toc30393"/>
      <w:r>
        <w:rPr>
          <w:rFonts w:hint="eastAsia"/>
        </w:rPr>
        <w:t>关键元器件清单</w:t>
      </w:r>
      <w:bookmarkEnd w:id="51"/>
    </w:p>
    <w:p w14:paraId="73A13692">
      <w:pPr>
        <w:pStyle w:val="25"/>
        <w:ind w:firstLine="480"/>
      </w:pPr>
      <w:r>
        <w:t>SG320HX</w:t>
      </w:r>
      <w:r>
        <w:rPr>
          <w:rFonts w:hint="eastAsia"/>
        </w:rPr>
        <w:t>-</w:t>
      </w:r>
      <w:r>
        <w:t>20</w:t>
      </w:r>
      <w:r>
        <w:rPr>
          <w:rFonts w:hint="eastAsia"/>
        </w:rPr>
        <w:t>组串式逆变器关键元器件：</w:t>
      </w:r>
    </w:p>
    <w:p w14:paraId="23E4F6D3">
      <w:pPr>
        <w:pStyle w:val="26"/>
        <w:numPr>
          <w:ilvl w:val="8"/>
          <w:numId w:val="5"/>
        </w:numPr>
      </w:pPr>
      <w:r>
        <w:rPr>
          <w:rFonts w:hint="eastAsia"/>
        </w:rPr>
        <w:t>关键器件清单</w:t>
      </w:r>
    </w:p>
    <w:tbl>
      <w:tblPr>
        <w:tblStyle w:val="11"/>
        <w:tblW w:w="5000" w:type="pct"/>
        <w:jc w:val="center"/>
        <w:tblLayout w:type="autofit"/>
        <w:tblCellMar>
          <w:top w:w="0" w:type="dxa"/>
          <w:left w:w="108" w:type="dxa"/>
          <w:bottom w:w="0" w:type="dxa"/>
          <w:right w:w="108" w:type="dxa"/>
        </w:tblCellMar>
      </w:tblPr>
      <w:tblGrid>
        <w:gridCol w:w="701"/>
        <w:gridCol w:w="1861"/>
        <w:gridCol w:w="1653"/>
        <w:gridCol w:w="3417"/>
        <w:gridCol w:w="1189"/>
        <w:gridCol w:w="892"/>
      </w:tblGrid>
      <w:tr w14:paraId="284805B3">
        <w:tblPrEx>
          <w:tblCellMar>
            <w:top w:w="0" w:type="dxa"/>
            <w:left w:w="108" w:type="dxa"/>
            <w:bottom w:w="0" w:type="dxa"/>
            <w:right w:w="108" w:type="dxa"/>
          </w:tblCellMar>
        </w:tblPrEx>
        <w:trPr>
          <w:trHeight w:val="510" w:hRule="atLeast"/>
          <w:jc w:val="center"/>
        </w:trPr>
        <w:tc>
          <w:tcPr>
            <w:tcW w:w="361" w:type="pct"/>
            <w:tcBorders>
              <w:top w:val="single" w:color="auto" w:sz="4" w:space="0"/>
              <w:left w:val="single" w:color="auto" w:sz="4" w:space="0"/>
              <w:bottom w:val="single" w:color="auto" w:sz="4" w:space="0"/>
              <w:right w:val="single" w:color="auto" w:sz="4" w:space="0"/>
            </w:tcBorders>
            <w:noWrap/>
            <w:vAlign w:val="center"/>
          </w:tcPr>
          <w:p w14:paraId="21DDCC61">
            <w:pPr>
              <w:pStyle w:val="27"/>
            </w:pPr>
            <w:bookmarkStart w:id="52" w:name="_Hlk135139564"/>
            <w:r>
              <w:rPr>
                <w:rFonts w:hint="eastAsia"/>
              </w:rPr>
              <w:t>序号</w:t>
            </w:r>
          </w:p>
        </w:tc>
        <w:tc>
          <w:tcPr>
            <w:tcW w:w="958" w:type="pct"/>
            <w:tcBorders>
              <w:top w:val="single" w:color="auto" w:sz="4" w:space="0"/>
              <w:left w:val="nil"/>
              <w:bottom w:val="single" w:color="auto" w:sz="4" w:space="0"/>
              <w:right w:val="single" w:color="auto" w:sz="4" w:space="0"/>
            </w:tcBorders>
            <w:noWrap/>
            <w:vAlign w:val="center"/>
          </w:tcPr>
          <w:p w14:paraId="54F662E7">
            <w:pPr>
              <w:pStyle w:val="27"/>
            </w:pPr>
            <w:r>
              <w:rPr>
                <w:rFonts w:hint="eastAsia"/>
              </w:rPr>
              <w:t>元器件名称</w:t>
            </w:r>
          </w:p>
        </w:tc>
        <w:tc>
          <w:tcPr>
            <w:tcW w:w="851" w:type="pct"/>
            <w:tcBorders>
              <w:top w:val="single" w:color="auto" w:sz="4" w:space="0"/>
              <w:left w:val="nil"/>
              <w:bottom w:val="single" w:color="auto" w:sz="4" w:space="0"/>
              <w:right w:val="single" w:color="auto" w:sz="4" w:space="0"/>
            </w:tcBorders>
            <w:noWrap/>
            <w:vAlign w:val="center"/>
          </w:tcPr>
          <w:p w14:paraId="0B3D2491">
            <w:pPr>
              <w:pStyle w:val="27"/>
            </w:pPr>
            <w:r>
              <w:rPr>
                <w:rFonts w:hint="eastAsia"/>
              </w:rPr>
              <w:t>生产厂家</w:t>
            </w:r>
          </w:p>
        </w:tc>
        <w:tc>
          <w:tcPr>
            <w:tcW w:w="1759" w:type="pct"/>
            <w:tcBorders>
              <w:top w:val="single" w:color="auto" w:sz="4" w:space="0"/>
              <w:left w:val="nil"/>
              <w:bottom w:val="single" w:color="auto" w:sz="4" w:space="0"/>
              <w:right w:val="single" w:color="auto" w:sz="4" w:space="0"/>
            </w:tcBorders>
            <w:noWrap/>
            <w:vAlign w:val="center"/>
          </w:tcPr>
          <w:p w14:paraId="43B090B0">
            <w:pPr>
              <w:pStyle w:val="27"/>
            </w:pPr>
            <w:r>
              <w:rPr>
                <w:rFonts w:hint="eastAsia"/>
              </w:rPr>
              <w:t>型号</w:t>
            </w:r>
          </w:p>
        </w:tc>
        <w:tc>
          <w:tcPr>
            <w:tcW w:w="612" w:type="pct"/>
            <w:tcBorders>
              <w:top w:val="single" w:color="auto" w:sz="4" w:space="0"/>
              <w:left w:val="nil"/>
              <w:bottom w:val="single" w:color="auto" w:sz="4" w:space="0"/>
              <w:right w:val="single" w:color="auto" w:sz="4" w:space="0"/>
            </w:tcBorders>
            <w:vAlign w:val="center"/>
          </w:tcPr>
          <w:p w14:paraId="67AB8AC0">
            <w:pPr>
              <w:pStyle w:val="27"/>
            </w:pPr>
            <w:r>
              <w:rPr>
                <w:rFonts w:hint="eastAsia"/>
              </w:rPr>
              <w:t>单机数量</w:t>
            </w:r>
          </w:p>
        </w:tc>
        <w:tc>
          <w:tcPr>
            <w:tcW w:w="459" w:type="pct"/>
            <w:tcBorders>
              <w:top w:val="single" w:color="auto" w:sz="4" w:space="0"/>
              <w:left w:val="nil"/>
              <w:bottom w:val="single" w:color="auto" w:sz="4" w:space="0"/>
              <w:right w:val="single" w:color="auto" w:sz="4" w:space="0"/>
            </w:tcBorders>
            <w:vAlign w:val="center"/>
          </w:tcPr>
          <w:p w14:paraId="3AF6C749">
            <w:pPr>
              <w:pStyle w:val="27"/>
            </w:pPr>
            <w:r>
              <w:rPr>
                <w:rFonts w:hint="eastAsia"/>
              </w:rPr>
              <w:t>备注</w:t>
            </w:r>
          </w:p>
        </w:tc>
      </w:tr>
      <w:tr w14:paraId="08A52507">
        <w:tblPrEx>
          <w:tblCellMar>
            <w:top w:w="0" w:type="dxa"/>
            <w:left w:w="108" w:type="dxa"/>
            <w:bottom w:w="0" w:type="dxa"/>
            <w:right w:w="108" w:type="dxa"/>
          </w:tblCellMar>
        </w:tblPrEx>
        <w:trPr>
          <w:trHeight w:val="351" w:hRule="atLeast"/>
          <w:jc w:val="center"/>
        </w:trPr>
        <w:tc>
          <w:tcPr>
            <w:tcW w:w="361" w:type="pct"/>
            <w:vMerge w:val="restart"/>
            <w:tcBorders>
              <w:top w:val="single" w:color="auto" w:sz="4" w:space="0"/>
              <w:left w:val="single" w:color="auto" w:sz="4" w:space="0"/>
              <w:right w:val="single" w:color="auto" w:sz="4" w:space="0"/>
            </w:tcBorders>
            <w:noWrap/>
            <w:vAlign w:val="center"/>
          </w:tcPr>
          <w:p w14:paraId="6E0F771F">
            <w:pPr>
              <w:pStyle w:val="28"/>
            </w:pPr>
            <w:r>
              <w:t>1</w:t>
            </w:r>
          </w:p>
        </w:tc>
        <w:tc>
          <w:tcPr>
            <w:tcW w:w="958" w:type="pct"/>
            <w:vMerge w:val="restart"/>
            <w:tcBorders>
              <w:top w:val="single" w:color="auto" w:sz="4" w:space="0"/>
              <w:left w:val="single" w:color="auto" w:sz="4" w:space="0"/>
              <w:right w:val="single" w:color="auto" w:sz="4" w:space="0"/>
            </w:tcBorders>
            <w:noWrap/>
            <w:vAlign w:val="center"/>
          </w:tcPr>
          <w:p w14:paraId="6259CAF5">
            <w:pPr>
              <w:pStyle w:val="28"/>
            </w:pPr>
            <w:r>
              <w:rPr>
                <w:rFonts w:hint="eastAsia"/>
              </w:rPr>
              <w:t>直流开关</w:t>
            </w:r>
          </w:p>
        </w:tc>
        <w:tc>
          <w:tcPr>
            <w:tcW w:w="851" w:type="pct"/>
            <w:tcBorders>
              <w:top w:val="single" w:color="auto" w:sz="4" w:space="0"/>
              <w:left w:val="single" w:color="auto" w:sz="4" w:space="0"/>
              <w:bottom w:val="nil"/>
              <w:right w:val="single" w:color="auto" w:sz="4" w:space="0"/>
            </w:tcBorders>
            <w:noWrap/>
            <w:vAlign w:val="center"/>
          </w:tcPr>
          <w:p w14:paraId="29CC0C05">
            <w:pPr>
              <w:pStyle w:val="28"/>
            </w:pPr>
            <w:r>
              <w:rPr>
                <w:rFonts w:hint="eastAsia"/>
              </w:rPr>
              <w:t>奔一</w:t>
            </w:r>
          </w:p>
        </w:tc>
        <w:tc>
          <w:tcPr>
            <w:tcW w:w="1759" w:type="pct"/>
            <w:tcBorders>
              <w:top w:val="single" w:color="auto" w:sz="4" w:space="0"/>
              <w:left w:val="single" w:color="auto" w:sz="4" w:space="0"/>
              <w:bottom w:val="nil"/>
              <w:right w:val="single" w:color="auto" w:sz="4" w:space="0"/>
            </w:tcBorders>
            <w:noWrap/>
            <w:vAlign w:val="center"/>
          </w:tcPr>
          <w:p w14:paraId="13F5EEB1">
            <w:pPr>
              <w:pStyle w:val="28"/>
            </w:pPr>
            <w:r>
              <w:t>BYSS</w:t>
            </w:r>
            <w:r>
              <w:rPr>
                <w:rFonts w:hint="eastAsia"/>
              </w:rPr>
              <w:t>系列</w:t>
            </w:r>
          </w:p>
        </w:tc>
        <w:tc>
          <w:tcPr>
            <w:tcW w:w="612" w:type="pct"/>
            <w:vMerge w:val="restart"/>
            <w:tcBorders>
              <w:top w:val="single" w:color="auto" w:sz="4" w:space="0"/>
              <w:left w:val="single" w:color="auto" w:sz="4" w:space="0"/>
              <w:right w:val="single" w:color="auto" w:sz="4" w:space="0"/>
            </w:tcBorders>
            <w:noWrap/>
            <w:vAlign w:val="center"/>
          </w:tcPr>
          <w:p w14:paraId="5CD2ABBB">
            <w:pPr>
              <w:pStyle w:val="28"/>
            </w:pPr>
            <w:r>
              <w:t>3</w:t>
            </w:r>
            <w:r>
              <w:rPr>
                <w:rFonts w:hint="eastAsia"/>
              </w:rPr>
              <w:t>只</w:t>
            </w:r>
          </w:p>
        </w:tc>
        <w:tc>
          <w:tcPr>
            <w:tcW w:w="459" w:type="pct"/>
            <w:vMerge w:val="restart"/>
            <w:tcBorders>
              <w:top w:val="single" w:color="auto" w:sz="4" w:space="0"/>
              <w:left w:val="nil"/>
              <w:right w:val="single" w:color="auto" w:sz="4" w:space="0"/>
            </w:tcBorders>
            <w:vAlign w:val="center"/>
          </w:tcPr>
          <w:p w14:paraId="1912FDF3">
            <w:pPr>
              <w:pStyle w:val="28"/>
            </w:pPr>
            <w:r>
              <w:rPr>
                <w:rFonts w:hint="eastAsia"/>
              </w:rPr>
              <w:t>同等</w:t>
            </w:r>
          </w:p>
        </w:tc>
      </w:tr>
      <w:tr w14:paraId="3ACC2F2C">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428A378A">
            <w:pPr>
              <w:pStyle w:val="28"/>
            </w:pPr>
          </w:p>
        </w:tc>
        <w:tc>
          <w:tcPr>
            <w:tcW w:w="0" w:type="auto"/>
            <w:vMerge w:val="continue"/>
            <w:tcBorders>
              <w:left w:val="single" w:color="auto" w:sz="4" w:space="0"/>
              <w:right w:val="single" w:color="auto" w:sz="4" w:space="0"/>
            </w:tcBorders>
            <w:vAlign w:val="center"/>
          </w:tcPr>
          <w:p w14:paraId="4B81733D">
            <w:pPr>
              <w:pStyle w:val="28"/>
            </w:pPr>
          </w:p>
        </w:tc>
        <w:tc>
          <w:tcPr>
            <w:tcW w:w="851" w:type="pct"/>
            <w:vMerge w:val="restart"/>
            <w:tcBorders>
              <w:top w:val="single" w:color="auto" w:sz="4" w:space="0"/>
              <w:left w:val="nil"/>
              <w:right w:val="single" w:color="auto" w:sz="4" w:space="0"/>
            </w:tcBorders>
            <w:noWrap/>
            <w:vAlign w:val="center"/>
          </w:tcPr>
          <w:p w14:paraId="402EB74A">
            <w:pPr>
              <w:pStyle w:val="28"/>
            </w:pPr>
            <w:r>
              <w:rPr>
                <w:rFonts w:hint="eastAsia"/>
              </w:rPr>
              <w:t>良信</w:t>
            </w:r>
          </w:p>
        </w:tc>
        <w:tc>
          <w:tcPr>
            <w:tcW w:w="1759" w:type="pct"/>
            <w:tcBorders>
              <w:top w:val="single" w:color="auto" w:sz="4" w:space="0"/>
              <w:left w:val="nil"/>
              <w:bottom w:val="single" w:color="auto" w:sz="4" w:space="0"/>
              <w:right w:val="single" w:color="auto" w:sz="4" w:space="0"/>
            </w:tcBorders>
            <w:noWrap/>
            <w:vAlign w:val="center"/>
          </w:tcPr>
          <w:p w14:paraId="5B3A5A56">
            <w:pPr>
              <w:pStyle w:val="28"/>
            </w:pPr>
            <w:r>
              <w:t>LNG63</w:t>
            </w:r>
            <w:r>
              <w:rPr>
                <w:rFonts w:hint="eastAsia"/>
              </w:rPr>
              <w:t>系列</w:t>
            </w:r>
          </w:p>
        </w:tc>
        <w:tc>
          <w:tcPr>
            <w:tcW w:w="0" w:type="auto"/>
            <w:vMerge w:val="continue"/>
            <w:tcBorders>
              <w:left w:val="single" w:color="auto" w:sz="4" w:space="0"/>
              <w:right w:val="single" w:color="auto" w:sz="4" w:space="0"/>
            </w:tcBorders>
            <w:vAlign w:val="center"/>
          </w:tcPr>
          <w:p w14:paraId="68A887E1">
            <w:pPr>
              <w:pStyle w:val="28"/>
            </w:pPr>
          </w:p>
        </w:tc>
        <w:tc>
          <w:tcPr>
            <w:tcW w:w="0" w:type="auto"/>
            <w:vMerge w:val="continue"/>
            <w:tcBorders>
              <w:left w:val="nil"/>
              <w:right w:val="single" w:color="auto" w:sz="4" w:space="0"/>
            </w:tcBorders>
            <w:vAlign w:val="center"/>
          </w:tcPr>
          <w:p w14:paraId="2471BF7F">
            <w:pPr>
              <w:pStyle w:val="28"/>
            </w:pPr>
          </w:p>
        </w:tc>
      </w:tr>
      <w:tr w14:paraId="3946C06A">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bottom w:val="single" w:color="auto" w:sz="4" w:space="0"/>
              <w:right w:val="single" w:color="auto" w:sz="4" w:space="0"/>
            </w:tcBorders>
            <w:vAlign w:val="center"/>
          </w:tcPr>
          <w:p w14:paraId="349F1367">
            <w:pPr>
              <w:pStyle w:val="28"/>
            </w:pPr>
          </w:p>
        </w:tc>
        <w:tc>
          <w:tcPr>
            <w:tcW w:w="0" w:type="auto"/>
            <w:vMerge w:val="continue"/>
            <w:tcBorders>
              <w:left w:val="single" w:color="auto" w:sz="4" w:space="0"/>
              <w:bottom w:val="single" w:color="auto" w:sz="4" w:space="0"/>
              <w:right w:val="single" w:color="auto" w:sz="4" w:space="0"/>
            </w:tcBorders>
            <w:vAlign w:val="center"/>
          </w:tcPr>
          <w:p w14:paraId="55B82265">
            <w:pPr>
              <w:pStyle w:val="28"/>
            </w:pPr>
          </w:p>
        </w:tc>
        <w:tc>
          <w:tcPr>
            <w:tcW w:w="851" w:type="pct"/>
            <w:vMerge w:val="continue"/>
            <w:tcBorders>
              <w:left w:val="nil"/>
              <w:bottom w:val="single" w:color="auto" w:sz="4" w:space="0"/>
              <w:right w:val="single" w:color="auto" w:sz="4" w:space="0"/>
            </w:tcBorders>
            <w:noWrap/>
            <w:vAlign w:val="center"/>
          </w:tcPr>
          <w:p w14:paraId="140C5D94">
            <w:pPr>
              <w:pStyle w:val="28"/>
            </w:pPr>
          </w:p>
        </w:tc>
        <w:tc>
          <w:tcPr>
            <w:tcW w:w="1759" w:type="pct"/>
            <w:tcBorders>
              <w:top w:val="single" w:color="auto" w:sz="4" w:space="0"/>
              <w:left w:val="nil"/>
              <w:bottom w:val="single" w:color="auto" w:sz="4" w:space="0"/>
              <w:right w:val="single" w:color="auto" w:sz="4" w:space="0"/>
            </w:tcBorders>
            <w:noWrap/>
            <w:vAlign w:val="center"/>
          </w:tcPr>
          <w:p w14:paraId="396EA4EC">
            <w:pPr>
              <w:pStyle w:val="28"/>
            </w:pPr>
            <w:r>
              <w:rPr>
                <w:rFonts w:hint="eastAsia"/>
              </w:rPr>
              <w:t>LNG80系列</w:t>
            </w:r>
          </w:p>
        </w:tc>
        <w:tc>
          <w:tcPr>
            <w:tcW w:w="0" w:type="auto"/>
            <w:vMerge w:val="continue"/>
            <w:tcBorders>
              <w:left w:val="single" w:color="auto" w:sz="4" w:space="0"/>
              <w:bottom w:val="nil"/>
              <w:right w:val="single" w:color="auto" w:sz="4" w:space="0"/>
            </w:tcBorders>
            <w:vAlign w:val="center"/>
          </w:tcPr>
          <w:p w14:paraId="64B9C760">
            <w:pPr>
              <w:pStyle w:val="28"/>
            </w:pPr>
          </w:p>
        </w:tc>
        <w:tc>
          <w:tcPr>
            <w:tcW w:w="0" w:type="auto"/>
            <w:vMerge w:val="continue"/>
            <w:tcBorders>
              <w:left w:val="nil"/>
              <w:bottom w:val="nil"/>
              <w:right w:val="single" w:color="auto" w:sz="4" w:space="0"/>
            </w:tcBorders>
            <w:vAlign w:val="center"/>
          </w:tcPr>
          <w:p w14:paraId="46229F51">
            <w:pPr>
              <w:pStyle w:val="28"/>
            </w:pPr>
          </w:p>
        </w:tc>
      </w:tr>
      <w:tr w14:paraId="6A296B4A">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bottom w:val="single" w:color="auto" w:sz="4" w:space="0"/>
              <w:right w:val="single" w:color="auto" w:sz="4" w:space="0"/>
            </w:tcBorders>
            <w:noWrap/>
            <w:vAlign w:val="center"/>
          </w:tcPr>
          <w:p w14:paraId="463A8220">
            <w:pPr>
              <w:pStyle w:val="28"/>
            </w:pPr>
            <w:r>
              <w:t>2</w:t>
            </w:r>
          </w:p>
        </w:tc>
        <w:tc>
          <w:tcPr>
            <w:tcW w:w="958" w:type="pct"/>
            <w:vMerge w:val="restart"/>
            <w:tcBorders>
              <w:top w:val="single" w:color="auto" w:sz="4" w:space="0"/>
              <w:left w:val="nil"/>
              <w:bottom w:val="single" w:color="auto" w:sz="4" w:space="0"/>
              <w:right w:val="single" w:color="auto" w:sz="4" w:space="0"/>
            </w:tcBorders>
            <w:noWrap/>
            <w:vAlign w:val="center"/>
          </w:tcPr>
          <w:p w14:paraId="4D9EE8FB">
            <w:pPr>
              <w:pStyle w:val="28"/>
            </w:pPr>
            <w:r>
              <w:rPr>
                <w:rFonts w:hint="eastAsia"/>
              </w:rPr>
              <w:t>外部风扇</w:t>
            </w:r>
          </w:p>
        </w:tc>
        <w:tc>
          <w:tcPr>
            <w:tcW w:w="851" w:type="pct"/>
            <w:tcBorders>
              <w:top w:val="nil"/>
              <w:left w:val="nil"/>
              <w:bottom w:val="single" w:color="auto" w:sz="4" w:space="0"/>
              <w:right w:val="single" w:color="auto" w:sz="4" w:space="0"/>
            </w:tcBorders>
            <w:noWrap/>
            <w:vAlign w:val="center"/>
          </w:tcPr>
          <w:p w14:paraId="645CB97A">
            <w:pPr>
              <w:pStyle w:val="28"/>
            </w:pPr>
            <w:r>
              <w:t>AVC</w:t>
            </w:r>
          </w:p>
        </w:tc>
        <w:tc>
          <w:tcPr>
            <w:tcW w:w="1759" w:type="pct"/>
            <w:tcBorders>
              <w:top w:val="nil"/>
              <w:left w:val="nil"/>
              <w:bottom w:val="single" w:color="auto" w:sz="4" w:space="0"/>
              <w:right w:val="single" w:color="auto" w:sz="4" w:space="0"/>
            </w:tcBorders>
            <w:noWrap/>
            <w:vAlign w:val="center"/>
          </w:tcPr>
          <w:p w14:paraId="5444646C">
            <w:pPr>
              <w:pStyle w:val="28"/>
            </w:pPr>
            <w:r>
              <w:t>DBPM</w:t>
            </w:r>
            <w:r>
              <w:rPr>
                <w:rFonts w:hint="eastAsia"/>
              </w:rPr>
              <w:t>系列</w:t>
            </w:r>
          </w:p>
        </w:tc>
        <w:tc>
          <w:tcPr>
            <w:tcW w:w="612" w:type="pct"/>
            <w:vMerge w:val="restart"/>
            <w:tcBorders>
              <w:top w:val="single" w:color="auto" w:sz="4" w:space="0"/>
              <w:left w:val="nil"/>
              <w:bottom w:val="single" w:color="auto" w:sz="4" w:space="0"/>
              <w:right w:val="single" w:color="auto" w:sz="4" w:space="0"/>
            </w:tcBorders>
            <w:noWrap/>
            <w:vAlign w:val="center"/>
          </w:tcPr>
          <w:p w14:paraId="5ECD5AAD">
            <w:pPr>
              <w:pStyle w:val="28"/>
            </w:pPr>
            <w:r>
              <w:t>7</w:t>
            </w:r>
            <w:r>
              <w:rPr>
                <w:rFonts w:hint="eastAsia"/>
              </w:rPr>
              <w:t>只</w:t>
            </w:r>
          </w:p>
        </w:tc>
        <w:tc>
          <w:tcPr>
            <w:tcW w:w="459" w:type="pct"/>
            <w:vMerge w:val="restart"/>
            <w:tcBorders>
              <w:top w:val="single" w:color="auto" w:sz="4" w:space="0"/>
              <w:left w:val="nil"/>
              <w:bottom w:val="single" w:color="auto" w:sz="4" w:space="0"/>
              <w:right w:val="single" w:color="auto" w:sz="4" w:space="0"/>
            </w:tcBorders>
            <w:vAlign w:val="center"/>
          </w:tcPr>
          <w:p w14:paraId="071C77B7">
            <w:pPr>
              <w:pStyle w:val="28"/>
            </w:pPr>
            <w:r>
              <w:rPr>
                <w:rFonts w:hint="eastAsia"/>
              </w:rPr>
              <w:t>同等</w:t>
            </w:r>
          </w:p>
        </w:tc>
      </w:tr>
      <w:tr w14:paraId="6385E9A1">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05DE7B">
            <w:pPr>
              <w:pStyle w:val="28"/>
            </w:pPr>
          </w:p>
        </w:tc>
        <w:tc>
          <w:tcPr>
            <w:tcW w:w="0" w:type="auto"/>
            <w:vMerge w:val="continue"/>
            <w:tcBorders>
              <w:top w:val="single" w:color="auto" w:sz="4" w:space="0"/>
              <w:left w:val="nil"/>
              <w:bottom w:val="single" w:color="auto" w:sz="4" w:space="0"/>
              <w:right w:val="single" w:color="auto" w:sz="4" w:space="0"/>
            </w:tcBorders>
            <w:vAlign w:val="center"/>
          </w:tcPr>
          <w:p w14:paraId="46350467">
            <w:pPr>
              <w:pStyle w:val="28"/>
            </w:pPr>
          </w:p>
        </w:tc>
        <w:tc>
          <w:tcPr>
            <w:tcW w:w="851" w:type="pct"/>
            <w:tcBorders>
              <w:top w:val="nil"/>
              <w:left w:val="nil"/>
              <w:bottom w:val="single" w:color="auto" w:sz="4" w:space="0"/>
              <w:right w:val="single" w:color="auto" w:sz="4" w:space="0"/>
            </w:tcBorders>
            <w:noWrap/>
            <w:vAlign w:val="center"/>
          </w:tcPr>
          <w:p w14:paraId="7AF6B696">
            <w:pPr>
              <w:pStyle w:val="28"/>
            </w:pPr>
            <w:r>
              <w:t>DELTA</w:t>
            </w:r>
          </w:p>
        </w:tc>
        <w:tc>
          <w:tcPr>
            <w:tcW w:w="1759" w:type="pct"/>
            <w:tcBorders>
              <w:top w:val="nil"/>
              <w:left w:val="nil"/>
              <w:bottom w:val="single" w:color="auto" w:sz="4" w:space="0"/>
              <w:right w:val="single" w:color="auto" w:sz="4" w:space="0"/>
            </w:tcBorders>
            <w:noWrap/>
            <w:vAlign w:val="center"/>
          </w:tcPr>
          <w:p w14:paraId="65C78A28">
            <w:pPr>
              <w:pStyle w:val="28"/>
            </w:pPr>
            <w:r>
              <w:t>THD</w:t>
            </w:r>
            <w:r>
              <w:rPr>
                <w:rFonts w:hint="eastAsia"/>
              </w:rPr>
              <w:t>系列</w:t>
            </w:r>
          </w:p>
        </w:tc>
        <w:tc>
          <w:tcPr>
            <w:tcW w:w="0" w:type="auto"/>
            <w:vMerge w:val="continue"/>
            <w:tcBorders>
              <w:top w:val="single" w:color="auto" w:sz="4" w:space="0"/>
              <w:left w:val="nil"/>
              <w:bottom w:val="single" w:color="auto" w:sz="4" w:space="0"/>
              <w:right w:val="single" w:color="auto" w:sz="4" w:space="0"/>
            </w:tcBorders>
            <w:vAlign w:val="center"/>
          </w:tcPr>
          <w:p w14:paraId="330C0F80">
            <w:pPr>
              <w:pStyle w:val="28"/>
            </w:pPr>
          </w:p>
        </w:tc>
        <w:tc>
          <w:tcPr>
            <w:tcW w:w="0" w:type="auto"/>
            <w:vMerge w:val="continue"/>
            <w:tcBorders>
              <w:top w:val="single" w:color="auto" w:sz="4" w:space="0"/>
              <w:left w:val="nil"/>
              <w:bottom w:val="single" w:color="auto" w:sz="4" w:space="0"/>
              <w:right w:val="single" w:color="auto" w:sz="4" w:space="0"/>
            </w:tcBorders>
            <w:vAlign w:val="center"/>
          </w:tcPr>
          <w:p w14:paraId="70BB7BB6">
            <w:pPr>
              <w:pStyle w:val="28"/>
            </w:pPr>
          </w:p>
        </w:tc>
      </w:tr>
      <w:tr w14:paraId="6328FB48">
        <w:tblPrEx>
          <w:tblCellMar>
            <w:top w:w="0" w:type="dxa"/>
            <w:left w:w="108" w:type="dxa"/>
            <w:bottom w:w="0" w:type="dxa"/>
            <w:right w:w="108" w:type="dxa"/>
          </w:tblCellMar>
        </w:tblPrEx>
        <w:trPr>
          <w:trHeight w:val="446" w:hRule="atLeast"/>
          <w:jc w:val="center"/>
        </w:trPr>
        <w:tc>
          <w:tcPr>
            <w:tcW w:w="361" w:type="pct"/>
            <w:vMerge w:val="restart"/>
            <w:tcBorders>
              <w:top w:val="nil"/>
              <w:left w:val="single" w:color="auto" w:sz="4" w:space="0"/>
              <w:bottom w:val="nil"/>
              <w:right w:val="single" w:color="auto" w:sz="4" w:space="0"/>
            </w:tcBorders>
            <w:noWrap/>
            <w:vAlign w:val="center"/>
          </w:tcPr>
          <w:p w14:paraId="2360B0B6">
            <w:pPr>
              <w:pStyle w:val="28"/>
            </w:pPr>
            <w:r>
              <w:t>3</w:t>
            </w:r>
          </w:p>
        </w:tc>
        <w:tc>
          <w:tcPr>
            <w:tcW w:w="958" w:type="pct"/>
            <w:vMerge w:val="restart"/>
            <w:tcBorders>
              <w:top w:val="nil"/>
              <w:left w:val="nil"/>
              <w:bottom w:val="nil"/>
              <w:right w:val="single" w:color="auto" w:sz="4" w:space="0"/>
            </w:tcBorders>
            <w:noWrap/>
            <w:vAlign w:val="center"/>
          </w:tcPr>
          <w:p w14:paraId="4F680D2F">
            <w:pPr>
              <w:pStyle w:val="28"/>
            </w:pPr>
            <w:r>
              <w:rPr>
                <w:rFonts w:hint="eastAsia"/>
              </w:rPr>
              <w:t>内部风扇</w:t>
            </w:r>
          </w:p>
        </w:tc>
        <w:tc>
          <w:tcPr>
            <w:tcW w:w="851" w:type="pct"/>
            <w:tcBorders>
              <w:top w:val="nil"/>
              <w:left w:val="nil"/>
              <w:bottom w:val="single" w:color="auto" w:sz="4" w:space="0"/>
              <w:right w:val="single" w:color="auto" w:sz="4" w:space="0"/>
            </w:tcBorders>
            <w:noWrap/>
            <w:vAlign w:val="center"/>
          </w:tcPr>
          <w:p w14:paraId="65CEA075">
            <w:pPr>
              <w:pStyle w:val="28"/>
            </w:pPr>
            <w:r>
              <w:t>NMB</w:t>
            </w:r>
          </w:p>
        </w:tc>
        <w:tc>
          <w:tcPr>
            <w:tcW w:w="1759" w:type="pct"/>
            <w:tcBorders>
              <w:top w:val="nil"/>
              <w:left w:val="nil"/>
              <w:bottom w:val="single" w:color="auto" w:sz="4" w:space="0"/>
              <w:right w:val="single" w:color="auto" w:sz="4" w:space="0"/>
            </w:tcBorders>
            <w:noWrap/>
            <w:vAlign w:val="center"/>
          </w:tcPr>
          <w:p w14:paraId="42EEA748">
            <w:pPr>
              <w:pStyle w:val="28"/>
            </w:pPr>
            <w:r>
              <w:t>12038VA</w:t>
            </w:r>
            <w:r>
              <w:rPr>
                <w:rFonts w:hint="eastAsia"/>
              </w:rPr>
              <w:t>系列</w:t>
            </w:r>
          </w:p>
        </w:tc>
        <w:tc>
          <w:tcPr>
            <w:tcW w:w="612" w:type="pct"/>
            <w:vMerge w:val="restart"/>
            <w:tcBorders>
              <w:top w:val="nil"/>
              <w:left w:val="nil"/>
              <w:bottom w:val="nil"/>
              <w:right w:val="single" w:color="auto" w:sz="4" w:space="0"/>
            </w:tcBorders>
            <w:noWrap/>
            <w:vAlign w:val="center"/>
          </w:tcPr>
          <w:p w14:paraId="58945BE2">
            <w:pPr>
              <w:pStyle w:val="28"/>
            </w:pPr>
            <w:r>
              <w:t>2</w:t>
            </w:r>
            <w:r>
              <w:rPr>
                <w:rFonts w:hint="eastAsia"/>
              </w:rPr>
              <w:t>只</w:t>
            </w:r>
          </w:p>
        </w:tc>
        <w:tc>
          <w:tcPr>
            <w:tcW w:w="459" w:type="pct"/>
            <w:vMerge w:val="restart"/>
            <w:tcBorders>
              <w:top w:val="nil"/>
              <w:left w:val="nil"/>
              <w:bottom w:val="nil"/>
              <w:right w:val="single" w:color="auto" w:sz="4" w:space="0"/>
            </w:tcBorders>
            <w:vAlign w:val="center"/>
          </w:tcPr>
          <w:p w14:paraId="4E95C810">
            <w:pPr>
              <w:pStyle w:val="28"/>
            </w:pPr>
            <w:r>
              <w:rPr>
                <w:rFonts w:hint="eastAsia"/>
              </w:rPr>
              <w:t>同等</w:t>
            </w:r>
          </w:p>
        </w:tc>
      </w:tr>
      <w:tr w14:paraId="0052B0F6">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4" w:space="0"/>
              <w:bottom w:val="nil"/>
              <w:right w:val="single" w:color="auto" w:sz="4" w:space="0"/>
            </w:tcBorders>
            <w:vAlign w:val="center"/>
          </w:tcPr>
          <w:p w14:paraId="363CE175">
            <w:pPr>
              <w:pStyle w:val="28"/>
            </w:pPr>
          </w:p>
        </w:tc>
        <w:tc>
          <w:tcPr>
            <w:tcW w:w="0" w:type="auto"/>
            <w:vMerge w:val="continue"/>
            <w:tcBorders>
              <w:top w:val="nil"/>
              <w:left w:val="nil"/>
              <w:bottom w:val="nil"/>
              <w:right w:val="single" w:color="auto" w:sz="4" w:space="0"/>
            </w:tcBorders>
            <w:vAlign w:val="center"/>
          </w:tcPr>
          <w:p w14:paraId="58A21959">
            <w:pPr>
              <w:pStyle w:val="28"/>
            </w:pPr>
          </w:p>
        </w:tc>
        <w:tc>
          <w:tcPr>
            <w:tcW w:w="851" w:type="pct"/>
            <w:tcBorders>
              <w:top w:val="nil"/>
              <w:left w:val="nil"/>
              <w:bottom w:val="single" w:color="auto" w:sz="4" w:space="0"/>
              <w:right w:val="single" w:color="auto" w:sz="4" w:space="0"/>
            </w:tcBorders>
            <w:noWrap/>
            <w:vAlign w:val="center"/>
          </w:tcPr>
          <w:p w14:paraId="5DB34EFC">
            <w:pPr>
              <w:pStyle w:val="28"/>
            </w:pPr>
            <w:r>
              <w:t>AVC</w:t>
            </w:r>
          </w:p>
        </w:tc>
        <w:tc>
          <w:tcPr>
            <w:tcW w:w="1759" w:type="pct"/>
            <w:tcBorders>
              <w:top w:val="nil"/>
              <w:left w:val="nil"/>
              <w:bottom w:val="single" w:color="auto" w:sz="4" w:space="0"/>
              <w:right w:val="single" w:color="auto" w:sz="4" w:space="0"/>
            </w:tcBorders>
            <w:shd w:val="clear" w:color="auto" w:fill="FFFFFF" w:themeFill="background1"/>
            <w:noWrap/>
            <w:vAlign w:val="center"/>
          </w:tcPr>
          <w:p w14:paraId="42EA09B7">
            <w:pPr>
              <w:pStyle w:val="28"/>
            </w:pPr>
            <w:r>
              <w:t>DBPJ1238</w:t>
            </w:r>
            <w:r>
              <w:rPr>
                <w:rFonts w:hint="eastAsia"/>
              </w:rPr>
              <w:t>系列</w:t>
            </w:r>
          </w:p>
        </w:tc>
        <w:tc>
          <w:tcPr>
            <w:tcW w:w="0" w:type="auto"/>
            <w:vMerge w:val="continue"/>
            <w:tcBorders>
              <w:top w:val="nil"/>
              <w:left w:val="nil"/>
              <w:bottom w:val="nil"/>
              <w:right w:val="single" w:color="auto" w:sz="4" w:space="0"/>
            </w:tcBorders>
            <w:vAlign w:val="center"/>
          </w:tcPr>
          <w:p w14:paraId="27838819">
            <w:pPr>
              <w:pStyle w:val="28"/>
            </w:pPr>
          </w:p>
        </w:tc>
        <w:tc>
          <w:tcPr>
            <w:tcW w:w="0" w:type="auto"/>
            <w:vMerge w:val="continue"/>
            <w:tcBorders>
              <w:top w:val="nil"/>
              <w:left w:val="nil"/>
              <w:bottom w:val="nil"/>
              <w:right w:val="single" w:color="auto" w:sz="4" w:space="0"/>
            </w:tcBorders>
            <w:vAlign w:val="center"/>
          </w:tcPr>
          <w:p w14:paraId="7C090005">
            <w:pPr>
              <w:pStyle w:val="28"/>
            </w:pPr>
          </w:p>
        </w:tc>
      </w:tr>
      <w:tr w14:paraId="3C440AA2">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bottom w:val="single" w:color="auto" w:sz="4" w:space="0"/>
              <w:right w:val="single" w:color="auto" w:sz="4" w:space="0"/>
            </w:tcBorders>
            <w:noWrap/>
            <w:vAlign w:val="center"/>
          </w:tcPr>
          <w:p w14:paraId="7F5B8BA1">
            <w:pPr>
              <w:pStyle w:val="28"/>
            </w:pPr>
            <w:r>
              <w:t>4</w:t>
            </w:r>
          </w:p>
        </w:tc>
        <w:tc>
          <w:tcPr>
            <w:tcW w:w="958" w:type="pct"/>
            <w:vMerge w:val="restart"/>
            <w:tcBorders>
              <w:top w:val="single" w:color="auto" w:sz="4" w:space="0"/>
              <w:left w:val="single" w:color="auto" w:sz="4" w:space="0"/>
              <w:bottom w:val="single" w:color="auto" w:sz="4" w:space="0"/>
              <w:right w:val="single" w:color="auto" w:sz="4" w:space="0"/>
            </w:tcBorders>
            <w:noWrap/>
            <w:vAlign w:val="center"/>
          </w:tcPr>
          <w:p w14:paraId="76089D84">
            <w:pPr>
              <w:pStyle w:val="28"/>
            </w:pPr>
            <w:r>
              <w:rPr>
                <w:rFonts w:hint="eastAsia"/>
              </w:rPr>
              <w:t>直流电流传感器</w:t>
            </w:r>
          </w:p>
        </w:tc>
        <w:tc>
          <w:tcPr>
            <w:tcW w:w="851" w:type="pct"/>
            <w:tcBorders>
              <w:top w:val="single" w:color="auto" w:sz="4" w:space="0"/>
              <w:left w:val="single" w:color="auto" w:sz="4" w:space="0"/>
              <w:bottom w:val="single" w:color="auto" w:sz="4" w:space="0"/>
              <w:right w:val="single" w:color="auto" w:sz="4" w:space="0"/>
            </w:tcBorders>
            <w:noWrap/>
            <w:vAlign w:val="center"/>
          </w:tcPr>
          <w:p w14:paraId="438FCD1C">
            <w:pPr>
              <w:pStyle w:val="28"/>
            </w:pPr>
            <w:r>
              <w:t>LEM</w:t>
            </w:r>
          </w:p>
        </w:tc>
        <w:tc>
          <w:tcPr>
            <w:tcW w:w="1759" w:type="pct"/>
            <w:tcBorders>
              <w:top w:val="single" w:color="auto" w:sz="4" w:space="0"/>
              <w:left w:val="single" w:color="auto" w:sz="4" w:space="0"/>
              <w:bottom w:val="single" w:color="auto" w:sz="4" w:space="0"/>
              <w:right w:val="single" w:color="auto" w:sz="4" w:space="0"/>
            </w:tcBorders>
            <w:noWrap/>
            <w:vAlign w:val="center"/>
          </w:tcPr>
          <w:p w14:paraId="7EBC8442">
            <w:pPr>
              <w:pStyle w:val="28"/>
            </w:pPr>
            <w:r>
              <w:t>HLSR-P</w:t>
            </w:r>
            <w:r>
              <w:rPr>
                <w:rFonts w:hint="eastAsia"/>
              </w:rPr>
              <w:t>系列</w:t>
            </w:r>
          </w:p>
        </w:tc>
        <w:tc>
          <w:tcPr>
            <w:tcW w:w="612" w:type="pct"/>
            <w:vMerge w:val="restart"/>
            <w:tcBorders>
              <w:top w:val="single" w:color="auto" w:sz="4" w:space="0"/>
              <w:left w:val="single" w:color="auto" w:sz="4" w:space="0"/>
              <w:bottom w:val="single" w:color="auto" w:sz="4" w:space="0"/>
              <w:right w:val="single" w:color="auto" w:sz="4" w:space="0"/>
            </w:tcBorders>
            <w:noWrap/>
            <w:vAlign w:val="center"/>
          </w:tcPr>
          <w:p w14:paraId="212AD70F">
            <w:pPr>
              <w:pStyle w:val="28"/>
            </w:pPr>
            <w:r>
              <w:t>6</w:t>
            </w:r>
            <w:r>
              <w:rPr>
                <w:rFonts w:hint="eastAsia"/>
              </w:rPr>
              <w:t>只</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14:paraId="03891054">
            <w:pPr>
              <w:pStyle w:val="28"/>
            </w:pPr>
            <w:r>
              <w:rPr>
                <w:rFonts w:hint="eastAsia"/>
              </w:rPr>
              <w:t>同等</w:t>
            </w:r>
          </w:p>
        </w:tc>
      </w:tr>
      <w:tr w14:paraId="645047F3">
        <w:tblPrEx>
          <w:tblCellMar>
            <w:top w:w="0" w:type="dxa"/>
            <w:left w:w="108" w:type="dxa"/>
            <w:bottom w:w="0" w:type="dxa"/>
            <w:right w:w="108"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58B176">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9CAFB7">
            <w:pPr>
              <w:pStyle w:val="28"/>
            </w:pPr>
          </w:p>
        </w:tc>
        <w:tc>
          <w:tcPr>
            <w:tcW w:w="851" w:type="pct"/>
            <w:tcBorders>
              <w:top w:val="single" w:color="auto" w:sz="4" w:space="0"/>
              <w:left w:val="single" w:color="auto" w:sz="4" w:space="0"/>
              <w:bottom w:val="nil"/>
              <w:right w:val="single" w:color="auto" w:sz="4" w:space="0"/>
            </w:tcBorders>
            <w:noWrap/>
            <w:vAlign w:val="center"/>
          </w:tcPr>
          <w:p w14:paraId="680DF3FE">
            <w:pPr>
              <w:pStyle w:val="28"/>
            </w:pPr>
            <w:r>
              <w:rPr>
                <w:rFonts w:hint="eastAsia"/>
              </w:rPr>
              <w:t>希磁</w:t>
            </w:r>
          </w:p>
        </w:tc>
        <w:tc>
          <w:tcPr>
            <w:tcW w:w="1759" w:type="pct"/>
            <w:tcBorders>
              <w:top w:val="single" w:color="auto" w:sz="4" w:space="0"/>
              <w:left w:val="nil"/>
              <w:bottom w:val="nil"/>
              <w:right w:val="single" w:color="auto" w:sz="4" w:space="0"/>
            </w:tcBorders>
            <w:noWrap/>
            <w:vAlign w:val="center"/>
          </w:tcPr>
          <w:p w14:paraId="7A56427E">
            <w:pPr>
              <w:pStyle w:val="28"/>
            </w:pPr>
            <w:r>
              <w:t>STK</w:t>
            </w:r>
            <w:r>
              <w:rPr>
                <w:rFonts w:hint="eastAsia"/>
              </w:rPr>
              <w:t>系列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41D934">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367C6E">
            <w:pPr>
              <w:pStyle w:val="28"/>
            </w:pPr>
          </w:p>
        </w:tc>
      </w:tr>
      <w:tr w14:paraId="76166BC0">
        <w:tblPrEx>
          <w:tblCellMar>
            <w:top w:w="0" w:type="dxa"/>
            <w:left w:w="108" w:type="dxa"/>
            <w:bottom w:w="0" w:type="dxa"/>
            <w:right w:w="108"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E513C2">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33FB8D">
            <w:pPr>
              <w:pStyle w:val="28"/>
            </w:pPr>
          </w:p>
        </w:tc>
        <w:tc>
          <w:tcPr>
            <w:tcW w:w="851" w:type="pct"/>
            <w:tcBorders>
              <w:top w:val="single" w:color="auto" w:sz="4" w:space="0"/>
              <w:left w:val="single" w:color="auto" w:sz="4" w:space="0"/>
              <w:bottom w:val="nil"/>
              <w:right w:val="single" w:color="auto" w:sz="4" w:space="0"/>
            </w:tcBorders>
            <w:noWrap/>
            <w:vAlign w:val="center"/>
          </w:tcPr>
          <w:p w14:paraId="5E4636A6">
            <w:pPr>
              <w:pStyle w:val="28"/>
            </w:pPr>
            <w:r>
              <w:rPr>
                <w:rFonts w:hint="eastAsia"/>
              </w:rPr>
              <w:t>中车</w:t>
            </w:r>
          </w:p>
        </w:tc>
        <w:tc>
          <w:tcPr>
            <w:tcW w:w="1759" w:type="pct"/>
            <w:tcBorders>
              <w:top w:val="single" w:color="auto" w:sz="4" w:space="0"/>
              <w:left w:val="nil"/>
              <w:bottom w:val="nil"/>
              <w:right w:val="single" w:color="auto" w:sz="4" w:space="0"/>
            </w:tcBorders>
            <w:noWrap/>
            <w:vAlign w:val="center"/>
          </w:tcPr>
          <w:p w14:paraId="46AB63C2">
            <w:pPr>
              <w:pStyle w:val="28"/>
            </w:pPr>
            <w:r>
              <w:t>NACA</w:t>
            </w:r>
            <w:r>
              <w:rPr>
                <w:rFonts w:hint="eastAsia"/>
              </w:rPr>
              <w:t>系列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1EE112">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D2FFB">
            <w:pPr>
              <w:pStyle w:val="28"/>
            </w:pPr>
          </w:p>
        </w:tc>
      </w:tr>
      <w:bookmarkEnd w:id="52"/>
      <w:tr w14:paraId="1370FAC8">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right w:val="single" w:color="auto" w:sz="4" w:space="0"/>
            </w:tcBorders>
            <w:noWrap/>
            <w:vAlign w:val="center"/>
          </w:tcPr>
          <w:p w14:paraId="55308E19">
            <w:pPr>
              <w:pStyle w:val="28"/>
            </w:pPr>
            <w:r>
              <w:t>5</w:t>
            </w:r>
          </w:p>
        </w:tc>
        <w:tc>
          <w:tcPr>
            <w:tcW w:w="958" w:type="pct"/>
            <w:vMerge w:val="restart"/>
            <w:tcBorders>
              <w:top w:val="single" w:color="auto" w:sz="4" w:space="0"/>
              <w:left w:val="nil"/>
              <w:right w:val="single" w:color="auto" w:sz="4" w:space="0"/>
            </w:tcBorders>
            <w:noWrap/>
            <w:vAlign w:val="center"/>
          </w:tcPr>
          <w:p w14:paraId="42C83DE8">
            <w:pPr>
              <w:pStyle w:val="28"/>
            </w:pPr>
            <w:r>
              <w:rPr>
                <w:rFonts w:hint="eastAsia"/>
              </w:rPr>
              <w:t>交流电流传感器</w:t>
            </w:r>
          </w:p>
        </w:tc>
        <w:tc>
          <w:tcPr>
            <w:tcW w:w="851" w:type="pct"/>
            <w:tcBorders>
              <w:top w:val="single" w:color="auto" w:sz="4" w:space="0"/>
              <w:left w:val="nil"/>
              <w:bottom w:val="single" w:color="auto" w:sz="4" w:space="0"/>
              <w:right w:val="single" w:color="auto" w:sz="4" w:space="0"/>
            </w:tcBorders>
            <w:noWrap/>
            <w:vAlign w:val="center"/>
          </w:tcPr>
          <w:p w14:paraId="16FBCB8B">
            <w:pPr>
              <w:pStyle w:val="28"/>
            </w:pPr>
            <w:r>
              <w:rPr>
                <w:rFonts w:hint="eastAsia"/>
              </w:rPr>
              <w:t>希磁</w:t>
            </w:r>
          </w:p>
        </w:tc>
        <w:tc>
          <w:tcPr>
            <w:tcW w:w="1759" w:type="pct"/>
            <w:tcBorders>
              <w:top w:val="single" w:color="auto" w:sz="4" w:space="0"/>
              <w:left w:val="nil"/>
              <w:bottom w:val="single" w:color="auto" w:sz="4" w:space="0"/>
              <w:right w:val="single" w:color="auto" w:sz="4" w:space="0"/>
            </w:tcBorders>
            <w:noWrap/>
            <w:vAlign w:val="center"/>
          </w:tcPr>
          <w:p w14:paraId="54BC5A4D">
            <w:pPr>
              <w:pStyle w:val="28"/>
            </w:pPr>
            <w:r>
              <w:t>STB</w:t>
            </w:r>
            <w:r>
              <w:rPr>
                <w:rFonts w:hint="eastAsia"/>
              </w:rPr>
              <w:t>系列</w:t>
            </w:r>
          </w:p>
        </w:tc>
        <w:tc>
          <w:tcPr>
            <w:tcW w:w="612" w:type="pct"/>
            <w:vMerge w:val="restart"/>
            <w:tcBorders>
              <w:top w:val="single" w:color="auto" w:sz="4" w:space="0"/>
              <w:left w:val="nil"/>
              <w:right w:val="single" w:color="auto" w:sz="4" w:space="0"/>
            </w:tcBorders>
            <w:noWrap/>
            <w:vAlign w:val="center"/>
          </w:tcPr>
          <w:p w14:paraId="58E12EC3">
            <w:pPr>
              <w:pStyle w:val="28"/>
            </w:pPr>
            <w:r>
              <w:t>3</w:t>
            </w:r>
            <w:r>
              <w:rPr>
                <w:rFonts w:hint="eastAsia"/>
              </w:rPr>
              <w:t>只</w:t>
            </w:r>
          </w:p>
        </w:tc>
        <w:tc>
          <w:tcPr>
            <w:tcW w:w="459" w:type="pct"/>
            <w:vMerge w:val="restart"/>
            <w:tcBorders>
              <w:top w:val="single" w:color="auto" w:sz="4" w:space="0"/>
              <w:left w:val="nil"/>
              <w:right w:val="single" w:color="auto" w:sz="4" w:space="0"/>
            </w:tcBorders>
            <w:vAlign w:val="center"/>
          </w:tcPr>
          <w:p w14:paraId="51CBD32B">
            <w:pPr>
              <w:pStyle w:val="28"/>
            </w:pPr>
            <w:r>
              <w:rPr>
                <w:rFonts w:hint="eastAsia"/>
              </w:rPr>
              <w:t>同等</w:t>
            </w:r>
          </w:p>
        </w:tc>
      </w:tr>
      <w:tr w14:paraId="61E7BEE5">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70517C2E">
            <w:pPr>
              <w:pStyle w:val="28"/>
            </w:pPr>
          </w:p>
        </w:tc>
        <w:tc>
          <w:tcPr>
            <w:tcW w:w="0" w:type="auto"/>
            <w:vMerge w:val="continue"/>
            <w:tcBorders>
              <w:left w:val="nil"/>
              <w:right w:val="single" w:color="auto" w:sz="4" w:space="0"/>
            </w:tcBorders>
            <w:vAlign w:val="center"/>
          </w:tcPr>
          <w:p w14:paraId="0115F364">
            <w:pPr>
              <w:pStyle w:val="28"/>
            </w:pPr>
          </w:p>
        </w:tc>
        <w:tc>
          <w:tcPr>
            <w:tcW w:w="851" w:type="pct"/>
            <w:tcBorders>
              <w:top w:val="single" w:color="auto" w:sz="4" w:space="0"/>
              <w:left w:val="nil"/>
              <w:bottom w:val="single" w:color="auto" w:sz="4" w:space="0"/>
              <w:right w:val="single" w:color="auto" w:sz="4" w:space="0"/>
            </w:tcBorders>
            <w:noWrap/>
            <w:vAlign w:val="center"/>
          </w:tcPr>
          <w:p w14:paraId="4226EE69">
            <w:pPr>
              <w:pStyle w:val="28"/>
            </w:pPr>
            <w:r>
              <w:rPr>
                <w:rFonts w:hint="eastAsia"/>
              </w:rPr>
              <w:t>中车</w:t>
            </w:r>
          </w:p>
        </w:tc>
        <w:tc>
          <w:tcPr>
            <w:tcW w:w="1759" w:type="pct"/>
            <w:tcBorders>
              <w:top w:val="single" w:color="auto" w:sz="4" w:space="0"/>
              <w:left w:val="nil"/>
              <w:bottom w:val="single" w:color="auto" w:sz="4" w:space="0"/>
              <w:right w:val="single" w:color="auto" w:sz="4" w:space="0"/>
            </w:tcBorders>
            <w:noWrap/>
            <w:vAlign w:val="center"/>
          </w:tcPr>
          <w:p w14:paraId="6A951CFE">
            <w:pPr>
              <w:pStyle w:val="28"/>
            </w:pPr>
            <w:r>
              <w:t>NACL</w:t>
            </w:r>
            <w:r>
              <w:rPr>
                <w:rFonts w:hint="eastAsia"/>
              </w:rPr>
              <w:t>系列</w:t>
            </w:r>
          </w:p>
        </w:tc>
        <w:tc>
          <w:tcPr>
            <w:tcW w:w="0" w:type="auto"/>
            <w:vMerge w:val="continue"/>
            <w:tcBorders>
              <w:left w:val="nil"/>
              <w:right w:val="single" w:color="auto" w:sz="4" w:space="0"/>
            </w:tcBorders>
            <w:vAlign w:val="center"/>
          </w:tcPr>
          <w:p w14:paraId="75862253">
            <w:pPr>
              <w:pStyle w:val="28"/>
            </w:pPr>
          </w:p>
        </w:tc>
        <w:tc>
          <w:tcPr>
            <w:tcW w:w="0" w:type="auto"/>
            <w:vMerge w:val="continue"/>
            <w:tcBorders>
              <w:left w:val="nil"/>
              <w:right w:val="single" w:color="auto" w:sz="4" w:space="0"/>
            </w:tcBorders>
            <w:vAlign w:val="center"/>
          </w:tcPr>
          <w:p w14:paraId="35DFB321">
            <w:pPr>
              <w:pStyle w:val="28"/>
            </w:pPr>
          </w:p>
        </w:tc>
      </w:tr>
      <w:tr w14:paraId="2161B265">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bottom w:val="nil"/>
              <w:right w:val="single" w:color="auto" w:sz="4" w:space="0"/>
            </w:tcBorders>
            <w:vAlign w:val="center"/>
          </w:tcPr>
          <w:p w14:paraId="212D6E5E">
            <w:pPr>
              <w:pStyle w:val="28"/>
            </w:pPr>
          </w:p>
        </w:tc>
        <w:tc>
          <w:tcPr>
            <w:tcW w:w="0" w:type="auto"/>
            <w:vMerge w:val="continue"/>
            <w:tcBorders>
              <w:left w:val="nil"/>
              <w:bottom w:val="nil"/>
              <w:right w:val="single" w:color="auto" w:sz="4" w:space="0"/>
            </w:tcBorders>
            <w:vAlign w:val="center"/>
          </w:tcPr>
          <w:p w14:paraId="66EFDC3F">
            <w:pPr>
              <w:pStyle w:val="28"/>
            </w:pPr>
          </w:p>
        </w:tc>
        <w:tc>
          <w:tcPr>
            <w:tcW w:w="851" w:type="pct"/>
            <w:tcBorders>
              <w:top w:val="single" w:color="auto" w:sz="4" w:space="0"/>
              <w:left w:val="nil"/>
              <w:bottom w:val="single" w:color="auto" w:sz="4" w:space="0"/>
              <w:right w:val="single" w:color="auto" w:sz="4" w:space="0"/>
            </w:tcBorders>
            <w:noWrap/>
            <w:vAlign w:val="center"/>
          </w:tcPr>
          <w:p w14:paraId="1AE13D66">
            <w:pPr>
              <w:pStyle w:val="28"/>
              <w:rPr>
                <w:rFonts w:hint="eastAsia"/>
              </w:rPr>
            </w:pPr>
            <w:r>
              <w:rPr>
                <w:rFonts w:hint="eastAsia"/>
              </w:rPr>
              <w:t>L</w:t>
            </w:r>
            <w:r>
              <w:t>EM</w:t>
            </w:r>
          </w:p>
        </w:tc>
        <w:tc>
          <w:tcPr>
            <w:tcW w:w="1759" w:type="pct"/>
            <w:tcBorders>
              <w:top w:val="single" w:color="auto" w:sz="4" w:space="0"/>
              <w:left w:val="nil"/>
              <w:bottom w:val="single" w:color="auto" w:sz="4" w:space="0"/>
              <w:right w:val="single" w:color="auto" w:sz="4" w:space="0"/>
            </w:tcBorders>
            <w:noWrap/>
            <w:vAlign w:val="center"/>
          </w:tcPr>
          <w:p w14:paraId="4DFD23BB">
            <w:pPr>
              <w:pStyle w:val="28"/>
            </w:pPr>
            <w:r>
              <w:t>LZSR</w:t>
            </w:r>
            <w:r>
              <w:rPr>
                <w:rFonts w:hint="eastAsia"/>
              </w:rPr>
              <w:t>系列</w:t>
            </w:r>
          </w:p>
        </w:tc>
        <w:tc>
          <w:tcPr>
            <w:tcW w:w="0" w:type="auto"/>
            <w:vMerge w:val="continue"/>
            <w:tcBorders>
              <w:left w:val="nil"/>
              <w:bottom w:val="nil"/>
              <w:right w:val="single" w:color="auto" w:sz="4" w:space="0"/>
            </w:tcBorders>
            <w:vAlign w:val="center"/>
          </w:tcPr>
          <w:p w14:paraId="0350A730">
            <w:pPr>
              <w:pStyle w:val="28"/>
            </w:pPr>
          </w:p>
        </w:tc>
        <w:tc>
          <w:tcPr>
            <w:tcW w:w="0" w:type="auto"/>
            <w:vMerge w:val="continue"/>
            <w:tcBorders>
              <w:left w:val="nil"/>
              <w:bottom w:val="nil"/>
              <w:right w:val="single" w:color="auto" w:sz="4" w:space="0"/>
            </w:tcBorders>
            <w:vAlign w:val="center"/>
          </w:tcPr>
          <w:p w14:paraId="482A7F47">
            <w:pPr>
              <w:pStyle w:val="28"/>
            </w:pPr>
          </w:p>
        </w:tc>
      </w:tr>
      <w:tr w14:paraId="4BBA3740">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bottom w:val="single" w:color="auto" w:sz="4" w:space="0"/>
              <w:right w:val="single" w:color="auto" w:sz="4" w:space="0"/>
            </w:tcBorders>
            <w:noWrap/>
            <w:vAlign w:val="center"/>
          </w:tcPr>
          <w:p w14:paraId="12934317">
            <w:pPr>
              <w:pStyle w:val="28"/>
            </w:pPr>
            <w:r>
              <w:t>6</w:t>
            </w:r>
          </w:p>
        </w:tc>
        <w:tc>
          <w:tcPr>
            <w:tcW w:w="958" w:type="pct"/>
            <w:vMerge w:val="restart"/>
            <w:tcBorders>
              <w:top w:val="single" w:color="auto" w:sz="4" w:space="0"/>
              <w:left w:val="single" w:color="auto" w:sz="4" w:space="0"/>
              <w:bottom w:val="single" w:color="auto" w:sz="4" w:space="0"/>
              <w:right w:val="single" w:color="auto" w:sz="4" w:space="0"/>
            </w:tcBorders>
            <w:noWrap/>
            <w:vAlign w:val="center"/>
          </w:tcPr>
          <w:p w14:paraId="36819269">
            <w:pPr>
              <w:pStyle w:val="28"/>
            </w:pPr>
            <w:r>
              <w:rPr>
                <w:rFonts w:hint="eastAsia"/>
              </w:rPr>
              <w:t>直流防雷器</w:t>
            </w:r>
          </w:p>
        </w:tc>
        <w:tc>
          <w:tcPr>
            <w:tcW w:w="851" w:type="pct"/>
            <w:tcBorders>
              <w:top w:val="single" w:color="auto" w:sz="4" w:space="0"/>
              <w:left w:val="nil"/>
              <w:bottom w:val="single" w:color="auto" w:sz="4" w:space="0"/>
              <w:right w:val="single" w:color="auto" w:sz="4" w:space="0"/>
            </w:tcBorders>
            <w:noWrap/>
            <w:vAlign w:val="center"/>
          </w:tcPr>
          <w:p w14:paraId="23DAA3CF">
            <w:pPr>
              <w:pStyle w:val="28"/>
            </w:pPr>
            <w:r>
              <w:rPr>
                <w:rFonts w:hint="eastAsia"/>
              </w:rPr>
              <w:t>中光</w:t>
            </w:r>
          </w:p>
        </w:tc>
        <w:tc>
          <w:tcPr>
            <w:tcW w:w="1759" w:type="pct"/>
            <w:tcBorders>
              <w:top w:val="single" w:color="auto" w:sz="4" w:space="0"/>
              <w:left w:val="nil"/>
              <w:bottom w:val="single" w:color="auto" w:sz="4" w:space="0"/>
              <w:right w:val="single" w:color="auto" w:sz="4" w:space="0"/>
            </w:tcBorders>
            <w:noWrap/>
            <w:vAlign w:val="center"/>
          </w:tcPr>
          <w:p w14:paraId="15CAF1A0">
            <w:pPr>
              <w:pStyle w:val="28"/>
            </w:pPr>
            <w:r>
              <w:t>ZGGS20</w:t>
            </w:r>
            <w:r>
              <w:rPr>
                <w:rFonts w:hint="eastAsia"/>
              </w:rPr>
              <w:t>系列</w:t>
            </w:r>
          </w:p>
        </w:tc>
        <w:tc>
          <w:tcPr>
            <w:tcW w:w="612" w:type="pct"/>
            <w:vMerge w:val="restart"/>
            <w:tcBorders>
              <w:top w:val="single" w:color="auto" w:sz="4" w:space="0"/>
              <w:left w:val="single" w:color="auto" w:sz="4" w:space="0"/>
              <w:bottom w:val="single" w:color="auto" w:sz="4" w:space="0"/>
              <w:right w:val="single" w:color="auto" w:sz="4" w:space="0"/>
            </w:tcBorders>
            <w:noWrap/>
            <w:vAlign w:val="center"/>
          </w:tcPr>
          <w:p w14:paraId="25A44E29">
            <w:pPr>
              <w:pStyle w:val="28"/>
            </w:pPr>
            <w:r>
              <w:t>10</w:t>
            </w:r>
            <w:r>
              <w:rPr>
                <w:rFonts w:hint="eastAsia"/>
              </w:rPr>
              <w:t>只</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14:paraId="2B5735DD">
            <w:pPr>
              <w:pStyle w:val="28"/>
            </w:pPr>
            <w:r>
              <w:rPr>
                <w:rFonts w:hint="eastAsia"/>
              </w:rPr>
              <w:t>同等</w:t>
            </w:r>
          </w:p>
        </w:tc>
      </w:tr>
      <w:tr w14:paraId="6352B9D2">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E67588">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37AFBC">
            <w:pPr>
              <w:pStyle w:val="28"/>
            </w:pPr>
          </w:p>
        </w:tc>
        <w:tc>
          <w:tcPr>
            <w:tcW w:w="851" w:type="pct"/>
            <w:tcBorders>
              <w:top w:val="single" w:color="auto" w:sz="4" w:space="0"/>
              <w:left w:val="nil"/>
              <w:bottom w:val="single" w:color="auto" w:sz="4" w:space="0"/>
              <w:right w:val="single" w:color="auto" w:sz="4" w:space="0"/>
            </w:tcBorders>
            <w:noWrap/>
            <w:vAlign w:val="center"/>
          </w:tcPr>
          <w:p w14:paraId="105D8429">
            <w:pPr>
              <w:pStyle w:val="28"/>
            </w:pPr>
            <w:r>
              <w:rPr>
                <w:rFonts w:hint="eastAsia"/>
              </w:rPr>
              <w:t>赛尔特</w:t>
            </w:r>
          </w:p>
        </w:tc>
        <w:tc>
          <w:tcPr>
            <w:tcW w:w="1759" w:type="pct"/>
            <w:tcBorders>
              <w:top w:val="single" w:color="auto" w:sz="4" w:space="0"/>
              <w:left w:val="nil"/>
              <w:bottom w:val="single" w:color="auto" w:sz="4" w:space="0"/>
              <w:right w:val="single" w:color="auto" w:sz="4" w:space="0"/>
            </w:tcBorders>
            <w:noWrap/>
            <w:vAlign w:val="center"/>
          </w:tcPr>
          <w:p w14:paraId="6EA3C998">
            <w:pPr>
              <w:pStyle w:val="28"/>
            </w:pPr>
            <w:r>
              <w:t>TFMOV</w:t>
            </w:r>
            <w:r>
              <w:rPr>
                <w:rFonts w:hint="eastAsia"/>
              </w:rPr>
              <w:t>系列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79CEF9">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05D896">
            <w:pPr>
              <w:pStyle w:val="28"/>
            </w:pPr>
          </w:p>
        </w:tc>
      </w:tr>
      <w:tr w14:paraId="756B021B">
        <w:tblPrEx>
          <w:tblCellMar>
            <w:top w:w="0" w:type="dxa"/>
            <w:left w:w="108" w:type="dxa"/>
            <w:bottom w:w="0" w:type="dxa"/>
            <w:right w:w="108" w:type="dxa"/>
          </w:tblCellMar>
        </w:tblPrEx>
        <w:trPr>
          <w:trHeight w:val="411" w:hRule="atLeast"/>
          <w:jc w:val="center"/>
        </w:trPr>
        <w:tc>
          <w:tcPr>
            <w:tcW w:w="361" w:type="pct"/>
            <w:vMerge w:val="restart"/>
            <w:tcBorders>
              <w:top w:val="single" w:color="auto" w:sz="4" w:space="0"/>
              <w:left w:val="single" w:color="auto" w:sz="4" w:space="0"/>
              <w:bottom w:val="nil"/>
              <w:right w:val="single" w:color="auto" w:sz="4" w:space="0"/>
            </w:tcBorders>
            <w:vAlign w:val="center"/>
          </w:tcPr>
          <w:p w14:paraId="77AFAA7E">
            <w:pPr>
              <w:pStyle w:val="28"/>
            </w:pPr>
            <w:r>
              <w:t>7</w:t>
            </w:r>
          </w:p>
        </w:tc>
        <w:tc>
          <w:tcPr>
            <w:tcW w:w="958" w:type="pct"/>
            <w:vMerge w:val="restart"/>
            <w:tcBorders>
              <w:top w:val="single" w:color="auto" w:sz="4" w:space="0"/>
              <w:left w:val="single" w:color="auto" w:sz="4" w:space="0"/>
              <w:bottom w:val="nil"/>
              <w:right w:val="single" w:color="auto" w:sz="4" w:space="0"/>
            </w:tcBorders>
            <w:vAlign w:val="center"/>
          </w:tcPr>
          <w:p w14:paraId="292C919F">
            <w:pPr>
              <w:pStyle w:val="28"/>
            </w:pPr>
            <w:r>
              <w:rPr>
                <w:rFonts w:hint="eastAsia"/>
              </w:rPr>
              <w:t>交流防雷器</w:t>
            </w:r>
          </w:p>
        </w:tc>
        <w:tc>
          <w:tcPr>
            <w:tcW w:w="851" w:type="pct"/>
            <w:tcBorders>
              <w:top w:val="single" w:color="auto" w:sz="4" w:space="0"/>
              <w:left w:val="nil"/>
              <w:bottom w:val="single" w:color="auto" w:sz="4" w:space="0"/>
              <w:right w:val="single" w:color="auto" w:sz="4" w:space="0"/>
            </w:tcBorders>
            <w:noWrap/>
            <w:vAlign w:val="center"/>
          </w:tcPr>
          <w:p w14:paraId="2DDB3F54">
            <w:pPr>
              <w:pStyle w:val="28"/>
            </w:pPr>
            <w:r>
              <w:rPr>
                <w:rFonts w:hint="eastAsia"/>
              </w:rPr>
              <w:t>中光</w:t>
            </w:r>
          </w:p>
        </w:tc>
        <w:tc>
          <w:tcPr>
            <w:tcW w:w="1759" w:type="pct"/>
            <w:tcBorders>
              <w:top w:val="single" w:color="auto" w:sz="4" w:space="0"/>
              <w:left w:val="nil"/>
              <w:bottom w:val="single" w:color="auto" w:sz="4" w:space="0"/>
              <w:right w:val="single" w:color="auto" w:sz="4" w:space="0"/>
            </w:tcBorders>
            <w:noWrap/>
            <w:vAlign w:val="center"/>
          </w:tcPr>
          <w:p w14:paraId="4F1946B1">
            <w:pPr>
              <w:pStyle w:val="28"/>
            </w:pPr>
            <w:r>
              <w:t>ZGGS20</w:t>
            </w:r>
            <w:r>
              <w:rPr>
                <w:rFonts w:hint="eastAsia"/>
              </w:rPr>
              <w:t>系列</w:t>
            </w:r>
          </w:p>
        </w:tc>
        <w:tc>
          <w:tcPr>
            <w:tcW w:w="612" w:type="pct"/>
            <w:vMerge w:val="restart"/>
            <w:tcBorders>
              <w:top w:val="single" w:color="auto" w:sz="4" w:space="0"/>
              <w:left w:val="single" w:color="auto" w:sz="4" w:space="0"/>
              <w:bottom w:val="single" w:color="auto" w:sz="4" w:space="0"/>
              <w:right w:val="single" w:color="auto" w:sz="4" w:space="0"/>
            </w:tcBorders>
            <w:vAlign w:val="center"/>
          </w:tcPr>
          <w:p w14:paraId="17B9D197">
            <w:pPr>
              <w:pStyle w:val="28"/>
            </w:pPr>
            <w:r>
              <w:t>4</w:t>
            </w:r>
            <w:r>
              <w:rPr>
                <w:rFonts w:hint="eastAsia"/>
              </w:rPr>
              <w:t>只</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14:paraId="4EAA46CD">
            <w:pPr>
              <w:pStyle w:val="28"/>
            </w:pPr>
            <w:r>
              <w:rPr>
                <w:rFonts w:hint="eastAsia"/>
              </w:rPr>
              <w:t>同等</w:t>
            </w:r>
          </w:p>
        </w:tc>
      </w:tr>
      <w:tr w14:paraId="1314A004">
        <w:tblPrEx>
          <w:tblCellMar>
            <w:top w:w="0" w:type="dxa"/>
            <w:left w:w="108" w:type="dxa"/>
            <w:bottom w:w="0" w:type="dxa"/>
            <w:right w:w="108" w:type="dxa"/>
          </w:tblCellMar>
        </w:tblPrEx>
        <w:trPr>
          <w:trHeight w:val="411"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253CCBA2">
            <w:pPr>
              <w:pStyle w:val="28"/>
            </w:pPr>
          </w:p>
        </w:tc>
        <w:tc>
          <w:tcPr>
            <w:tcW w:w="0" w:type="auto"/>
            <w:vMerge w:val="continue"/>
            <w:tcBorders>
              <w:top w:val="single" w:color="auto" w:sz="4" w:space="0"/>
              <w:left w:val="single" w:color="auto" w:sz="4" w:space="0"/>
              <w:bottom w:val="nil"/>
              <w:right w:val="single" w:color="auto" w:sz="4" w:space="0"/>
            </w:tcBorders>
            <w:vAlign w:val="center"/>
          </w:tcPr>
          <w:p w14:paraId="285CC937">
            <w:pPr>
              <w:pStyle w:val="28"/>
            </w:pPr>
          </w:p>
        </w:tc>
        <w:tc>
          <w:tcPr>
            <w:tcW w:w="851" w:type="pct"/>
            <w:tcBorders>
              <w:top w:val="single" w:color="auto" w:sz="4" w:space="0"/>
              <w:left w:val="nil"/>
              <w:bottom w:val="single" w:color="auto" w:sz="4" w:space="0"/>
              <w:right w:val="single" w:color="auto" w:sz="4" w:space="0"/>
            </w:tcBorders>
            <w:noWrap/>
            <w:vAlign w:val="center"/>
          </w:tcPr>
          <w:p w14:paraId="0AA001C6">
            <w:pPr>
              <w:pStyle w:val="28"/>
            </w:pPr>
            <w:r>
              <w:rPr>
                <w:rFonts w:hint="eastAsia"/>
              </w:rPr>
              <w:t>赛尔特</w:t>
            </w:r>
          </w:p>
        </w:tc>
        <w:tc>
          <w:tcPr>
            <w:tcW w:w="1759" w:type="pct"/>
            <w:tcBorders>
              <w:top w:val="single" w:color="auto" w:sz="4" w:space="0"/>
              <w:left w:val="nil"/>
              <w:bottom w:val="single" w:color="auto" w:sz="4" w:space="0"/>
              <w:right w:val="single" w:color="auto" w:sz="4" w:space="0"/>
            </w:tcBorders>
            <w:noWrap/>
            <w:vAlign w:val="center"/>
          </w:tcPr>
          <w:p w14:paraId="3770C4A6">
            <w:pPr>
              <w:pStyle w:val="28"/>
            </w:pPr>
            <w:r>
              <w:t>TFMOV</w:t>
            </w:r>
            <w:r>
              <w:rPr>
                <w:rFonts w:hint="eastAsia"/>
              </w:rPr>
              <w:t>系列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34E539">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4AC282">
            <w:pPr>
              <w:pStyle w:val="28"/>
            </w:pPr>
          </w:p>
        </w:tc>
      </w:tr>
      <w:tr w14:paraId="75973517">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bottom w:val="nil"/>
              <w:right w:val="single" w:color="auto" w:sz="4" w:space="0"/>
            </w:tcBorders>
            <w:vAlign w:val="center"/>
          </w:tcPr>
          <w:p w14:paraId="194B6211">
            <w:pPr>
              <w:pStyle w:val="28"/>
            </w:pPr>
            <w:r>
              <w:t>8</w:t>
            </w:r>
          </w:p>
        </w:tc>
        <w:tc>
          <w:tcPr>
            <w:tcW w:w="958" w:type="pct"/>
            <w:vMerge w:val="restart"/>
            <w:tcBorders>
              <w:top w:val="single" w:color="auto" w:sz="4" w:space="0"/>
              <w:left w:val="single" w:color="auto" w:sz="4" w:space="0"/>
              <w:bottom w:val="nil"/>
              <w:right w:val="single" w:color="auto" w:sz="4" w:space="0"/>
            </w:tcBorders>
            <w:vAlign w:val="center"/>
          </w:tcPr>
          <w:p w14:paraId="7BFDEAE2">
            <w:pPr>
              <w:pStyle w:val="28"/>
            </w:pPr>
            <w:r>
              <w:rPr>
                <w:rFonts w:hint="eastAsia"/>
              </w:rPr>
              <w:t>交流继电器</w:t>
            </w:r>
          </w:p>
        </w:tc>
        <w:tc>
          <w:tcPr>
            <w:tcW w:w="851" w:type="pct"/>
            <w:tcBorders>
              <w:top w:val="single" w:color="auto" w:sz="4" w:space="0"/>
              <w:left w:val="nil"/>
              <w:bottom w:val="single" w:color="auto" w:sz="4" w:space="0"/>
              <w:right w:val="single" w:color="auto" w:sz="4" w:space="0"/>
            </w:tcBorders>
            <w:noWrap/>
            <w:vAlign w:val="center"/>
          </w:tcPr>
          <w:p w14:paraId="5728CF98">
            <w:pPr>
              <w:pStyle w:val="28"/>
            </w:pPr>
            <w:r>
              <w:rPr>
                <w:rFonts w:hint="eastAsia"/>
              </w:rPr>
              <w:t>中汇瑞德</w:t>
            </w:r>
          </w:p>
        </w:tc>
        <w:tc>
          <w:tcPr>
            <w:tcW w:w="1759" w:type="pct"/>
            <w:tcBorders>
              <w:top w:val="single" w:color="auto" w:sz="4" w:space="0"/>
              <w:left w:val="nil"/>
              <w:bottom w:val="single" w:color="auto" w:sz="4" w:space="0"/>
              <w:right w:val="single" w:color="auto" w:sz="4" w:space="0"/>
            </w:tcBorders>
            <w:noWrap/>
            <w:vAlign w:val="center"/>
          </w:tcPr>
          <w:p w14:paraId="53B0DED9">
            <w:pPr>
              <w:pStyle w:val="28"/>
            </w:pPr>
            <w:r>
              <w:t>CHAR</w:t>
            </w:r>
            <w:r>
              <w:rPr>
                <w:rFonts w:hint="eastAsia"/>
              </w:rPr>
              <w:t>系列</w:t>
            </w:r>
          </w:p>
        </w:tc>
        <w:tc>
          <w:tcPr>
            <w:tcW w:w="612" w:type="pct"/>
            <w:vMerge w:val="restart"/>
            <w:tcBorders>
              <w:top w:val="single" w:color="auto" w:sz="4" w:space="0"/>
              <w:left w:val="single" w:color="auto" w:sz="4" w:space="0"/>
              <w:bottom w:val="nil"/>
              <w:right w:val="single" w:color="auto" w:sz="4" w:space="0"/>
            </w:tcBorders>
            <w:vAlign w:val="center"/>
          </w:tcPr>
          <w:p w14:paraId="43620280">
            <w:pPr>
              <w:pStyle w:val="28"/>
            </w:pPr>
            <w:r>
              <w:t>6</w:t>
            </w:r>
            <w:r>
              <w:rPr>
                <w:rFonts w:hint="eastAsia"/>
              </w:rPr>
              <w:t>只</w:t>
            </w:r>
          </w:p>
        </w:tc>
        <w:tc>
          <w:tcPr>
            <w:tcW w:w="459" w:type="pct"/>
            <w:vMerge w:val="restart"/>
            <w:tcBorders>
              <w:top w:val="single" w:color="auto" w:sz="4" w:space="0"/>
              <w:left w:val="single" w:color="auto" w:sz="4" w:space="0"/>
              <w:bottom w:val="nil"/>
              <w:right w:val="single" w:color="auto" w:sz="4" w:space="0"/>
            </w:tcBorders>
            <w:vAlign w:val="center"/>
          </w:tcPr>
          <w:p w14:paraId="2206AFE9">
            <w:pPr>
              <w:pStyle w:val="28"/>
            </w:pPr>
            <w:r>
              <w:rPr>
                <w:rFonts w:hint="eastAsia"/>
              </w:rPr>
              <w:t>同等</w:t>
            </w:r>
          </w:p>
        </w:tc>
      </w:tr>
      <w:tr w14:paraId="00A4D5C9">
        <w:tblPrEx>
          <w:tblCellMar>
            <w:top w:w="0" w:type="dxa"/>
            <w:left w:w="108" w:type="dxa"/>
            <w:bottom w:w="0" w:type="dxa"/>
            <w:right w:w="108" w:type="dxa"/>
          </w:tblCellMar>
        </w:tblPrEx>
        <w:trPr>
          <w:trHeight w:val="83" w:hRule="atLeast"/>
          <w:jc w:val="center"/>
        </w:trPr>
        <w:tc>
          <w:tcPr>
            <w:tcW w:w="0" w:type="auto"/>
            <w:vMerge w:val="continue"/>
            <w:tcBorders>
              <w:top w:val="single" w:color="auto" w:sz="4" w:space="0"/>
              <w:left w:val="single" w:color="auto" w:sz="4" w:space="0"/>
              <w:bottom w:val="nil"/>
              <w:right w:val="single" w:color="auto" w:sz="4" w:space="0"/>
            </w:tcBorders>
            <w:vAlign w:val="center"/>
          </w:tcPr>
          <w:p w14:paraId="44DC9D14">
            <w:pPr>
              <w:pStyle w:val="28"/>
            </w:pPr>
          </w:p>
        </w:tc>
        <w:tc>
          <w:tcPr>
            <w:tcW w:w="0" w:type="auto"/>
            <w:vMerge w:val="continue"/>
            <w:tcBorders>
              <w:top w:val="single" w:color="auto" w:sz="4" w:space="0"/>
              <w:left w:val="single" w:color="auto" w:sz="4" w:space="0"/>
              <w:bottom w:val="nil"/>
              <w:right w:val="single" w:color="auto" w:sz="4" w:space="0"/>
            </w:tcBorders>
            <w:vAlign w:val="center"/>
          </w:tcPr>
          <w:p w14:paraId="5E82ED7E">
            <w:pPr>
              <w:pStyle w:val="28"/>
            </w:pPr>
          </w:p>
        </w:tc>
        <w:tc>
          <w:tcPr>
            <w:tcW w:w="851" w:type="pct"/>
            <w:tcBorders>
              <w:top w:val="single" w:color="auto" w:sz="4" w:space="0"/>
              <w:left w:val="nil"/>
              <w:bottom w:val="single" w:color="auto" w:sz="4" w:space="0"/>
              <w:right w:val="single" w:color="auto" w:sz="4" w:space="0"/>
            </w:tcBorders>
            <w:noWrap/>
            <w:vAlign w:val="center"/>
          </w:tcPr>
          <w:p w14:paraId="5FDDE3D2">
            <w:pPr>
              <w:pStyle w:val="28"/>
            </w:pPr>
            <w:r>
              <w:rPr>
                <w:rFonts w:hint="eastAsia"/>
              </w:rPr>
              <w:t>宏发</w:t>
            </w:r>
          </w:p>
        </w:tc>
        <w:tc>
          <w:tcPr>
            <w:tcW w:w="1759" w:type="pct"/>
            <w:tcBorders>
              <w:top w:val="nil"/>
              <w:left w:val="nil"/>
              <w:bottom w:val="single" w:color="auto" w:sz="4" w:space="0"/>
              <w:right w:val="single" w:color="auto" w:sz="4" w:space="0"/>
            </w:tcBorders>
            <w:noWrap/>
            <w:vAlign w:val="center"/>
          </w:tcPr>
          <w:p w14:paraId="5E79E274">
            <w:pPr>
              <w:pStyle w:val="28"/>
            </w:pPr>
            <w:r>
              <w:t>HF167F</w:t>
            </w:r>
            <w:r>
              <w:rPr>
                <w:rFonts w:hint="eastAsia"/>
              </w:rPr>
              <w:t>系列</w:t>
            </w:r>
          </w:p>
        </w:tc>
        <w:tc>
          <w:tcPr>
            <w:tcW w:w="0" w:type="auto"/>
            <w:vMerge w:val="continue"/>
            <w:tcBorders>
              <w:top w:val="single" w:color="auto" w:sz="4" w:space="0"/>
              <w:left w:val="single" w:color="auto" w:sz="4" w:space="0"/>
              <w:bottom w:val="nil"/>
              <w:right w:val="single" w:color="auto" w:sz="4" w:space="0"/>
            </w:tcBorders>
            <w:vAlign w:val="center"/>
          </w:tcPr>
          <w:p w14:paraId="04F15CF4">
            <w:pPr>
              <w:pStyle w:val="28"/>
            </w:pPr>
          </w:p>
        </w:tc>
        <w:tc>
          <w:tcPr>
            <w:tcW w:w="0" w:type="auto"/>
            <w:vMerge w:val="continue"/>
            <w:tcBorders>
              <w:top w:val="single" w:color="auto" w:sz="4" w:space="0"/>
              <w:left w:val="single" w:color="auto" w:sz="4" w:space="0"/>
              <w:bottom w:val="nil"/>
              <w:right w:val="single" w:color="auto" w:sz="4" w:space="0"/>
            </w:tcBorders>
            <w:vAlign w:val="center"/>
          </w:tcPr>
          <w:p w14:paraId="3A87A3D4">
            <w:pPr>
              <w:pStyle w:val="28"/>
            </w:pPr>
          </w:p>
        </w:tc>
      </w:tr>
      <w:tr w14:paraId="710557E7">
        <w:tblPrEx>
          <w:tblCellMar>
            <w:top w:w="0" w:type="dxa"/>
            <w:left w:w="108" w:type="dxa"/>
            <w:bottom w:w="0" w:type="dxa"/>
            <w:right w:w="108" w:type="dxa"/>
          </w:tblCellMar>
        </w:tblPrEx>
        <w:trPr>
          <w:trHeight w:val="270" w:hRule="atLeast"/>
          <w:jc w:val="center"/>
        </w:trPr>
        <w:tc>
          <w:tcPr>
            <w:tcW w:w="361" w:type="pct"/>
            <w:tcBorders>
              <w:top w:val="single" w:color="auto" w:sz="4" w:space="0"/>
              <w:left w:val="single" w:color="auto" w:sz="4" w:space="0"/>
              <w:bottom w:val="nil"/>
              <w:right w:val="single" w:color="auto" w:sz="4" w:space="0"/>
            </w:tcBorders>
            <w:vAlign w:val="center"/>
          </w:tcPr>
          <w:p w14:paraId="4EAA245C">
            <w:pPr>
              <w:pStyle w:val="28"/>
            </w:pPr>
            <w:r>
              <w:t>9</w:t>
            </w:r>
          </w:p>
        </w:tc>
        <w:tc>
          <w:tcPr>
            <w:tcW w:w="958" w:type="pct"/>
            <w:tcBorders>
              <w:top w:val="single" w:color="auto" w:sz="4" w:space="0"/>
              <w:left w:val="single" w:color="auto" w:sz="4" w:space="0"/>
              <w:bottom w:val="nil"/>
              <w:right w:val="single" w:color="auto" w:sz="4" w:space="0"/>
            </w:tcBorders>
            <w:vAlign w:val="center"/>
          </w:tcPr>
          <w:p w14:paraId="7041BAEE">
            <w:pPr>
              <w:pStyle w:val="28"/>
            </w:pPr>
            <w:r>
              <w:rPr>
                <w:rFonts w:hint="eastAsia"/>
              </w:rPr>
              <w:t>交流输出</w:t>
            </w:r>
            <w:r>
              <w:t>EMI</w:t>
            </w:r>
            <w:r>
              <w:rPr>
                <w:rFonts w:hint="eastAsia"/>
              </w:rPr>
              <w:t>滤波器</w:t>
            </w:r>
          </w:p>
        </w:tc>
        <w:tc>
          <w:tcPr>
            <w:tcW w:w="851" w:type="pct"/>
            <w:tcBorders>
              <w:top w:val="single" w:color="auto" w:sz="4" w:space="0"/>
              <w:left w:val="single" w:color="auto" w:sz="4" w:space="0"/>
              <w:bottom w:val="single" w:color="auto" w:sz="4" w:space="0"/>
              <w:right w:val="single" w:color="auto" w:sz="4" w:space="0"/>
            </w:tcBorders>
            <w:noWrap/>
            <w:vAlign w:val="center"/>
          </w:tcPr>
          <w:p w14:paraId="24AD3C24">
            <w:pPr>
              <w:pStyle w:val="28"/>
            </w:pPr>
            <w:r>
              <w:rPr>
                <w:rFonts w:hint="eastAsia"/>
              </w:rPr>
              <w:t>华新科技</w:t>
            </w:r>
          </w:p>
        </w:tc>
        <w:tc>
          <w:tcPr>
            <w:tcW w:w="1759" w:type="pct"/>
            <w:tcBorders>
              <w:top w:val="single" w:color="auto" w:sz="4" w:space="0"/>
              <w:left w:val="single" w:color="auto" w:sz="4" w:space="0"/>
              <w:bottom w:val="single" w:color="auto" w:sz="4" w:space="0"/>
              <w:right w:val="single" w:color="auto" w:sz="4" w:space="0"/>
            </w:tcBorders>
            <w:noWrap/>
            <w:vAlign w:val="center"/>
          </w:tcPr>
          <w:p w14:paraId="24E8F856">
            <w:pPr>
              <w:pStyle w:val="28"/>
            </w:pPr>
            <w:r>
              <w:rPr>
                <w:rFonts w:hint="eastAsia"/>
              </w:rPr>
              <w:t>Y5P系列</w:t>
            </w:r>
          </w:p>
        </w:tc>
        <w:tc>
          <w:tcPr>
            <w:tcW w:w="612" w:type="pct"/>
            <w:tcBorders>
              <w:top w:val="single" w:color="auto" w:sz="4" w:space="0"/>
              <w:left w:val="single" w:color="auto" w:sz="4" w:space="0"/>
              <w:bottom w:val="nil"/>
              <w:right w:val="single" w:color="auto" w:sz="4" w:space="0"/>
            </w:tcBorders>
            <w:vAlign w:val="center"/>
          </w:tcPr>
          <w:p w14:paraId="188BCB1E">
            <w:pPr>
              <w:pStyle w:val="28"/>
            </w:pPr>
            <w:r>
              <w:rPr>
                <w:rFonts w:hint="eastAsia"/>
              </w:rPr>
              <w:t>1套</w:t>
            </w:r>
          </w:p>
        </w:tc>
        <w:tc>
          <w:tcPr>
            <w:tcW w:w="459" w:type="pct"/>
            <w:tcBorders>
              <w:top w:val="single" w:color="auto" w:sz="4" w:space="0"/>
              <w:left w:val="single" w:color="auto" w:sz="4" w:space="0"/>
              <w:bottom w:val="nil"/>
              <w:right w:val="single" w:color="auto" w:sz="4" w:space="0"/>
            </w:tcBorders>
            <w:vAlign w:val="center"/>
          </w:tcPr>
          <w:p w14:paraId="45FC0980">
            <w:pPr>
              <w:pStyle w:val="28"/>
            </w:pPr>
            <w:r>
              <w:rPr>
                <w:rFonts w:hint="eastAsia"/>
              </w:rPr>
              <w:t>同等</w:t>
            </w:r>
          </w:p>
        </w:tc>
      </w:tr>
      <w:tr w14:paraId="50E25235">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bottom w:val="single" w:color="auto" w:sz="4" w:space="0"/>
              <w:right w:val="single" w:color="auto" w:sz="4" w:space="0"/>
            </w:tcBorders>
            <w:noWrap/>
            <w:vAlign w:val="center"/>
          </w:tcPr>
          <w:p w14:paraId="168664B2">
            <w:pPr>
              <w:pStyle w:val="28"/>
            </w:pPr>
            <w:r>
              <w:t>10</w:t>
            </w:r>
          </w:p>
        </w:tc>
        <w:tc>
          <w:tcPr>
            <w:tcW w:w="958" w:type="pct"/>
            <w:vMerge w:val="restart"/>
            <w:tcBorders>
              <w:top w:val="single" w:color="auto" w:sz="4" w:space="0"/>
              <w:left w:val="single" w:color="auto" w:sz="4" w:space="0"/>
              <w:bottom w:val="single" w:color="auto" w:sz="4" w:space="0"/>
              <w:right w:val="single" w:color="auto" w:sz="4" w:space="0"/>
            </w:tcBorders>
            <w:noWrap/>
            <w:vAlign w:val="center"/>
          </w:tcPr>
          <w:p w14:paraId="3CD1CC44">
            <w:pPr>
              <w:pStyle w:val="28"/>
            </w:pPr>
            <w:r>
              <w:rPr>
                <w:rFonts w:hint="eastAsia"/>
              </w:rPr>
              <w:t>漏电流传感器</w:t>
            </w:r>
          </w:p>
        </w:tc>
        <w:tc>
          <w:tcPr>
            <w:tcW w:w="851" w:type="pct"/>
            <w:tcBorders>
              <w:top w:val="single" w:color="auto" w:sz="4" w:space="0"/>
              <w:left w:val="single" w:color="auto" w:sz="4" w:space="0"/>
              <w:bottom w:val="single" w:color="auto" w:sz="4" w:space="0"/>
              <w:right w:val="single" w:color="auto" w:sz="4" w:space="0"/>
            </w:tcBorders>
            <w:noWrap/>
            <w:vAlign w:val="center"/>
          </w:tcPr>
          <w:p w14:paraId="5796311B">
            <w:pPr>
              <w:pStyle w:val="28"/>
            </w:pPr>
            <w:r>
              <w:rPr>
                <w:rFonts w:hint="eastAsia"/>
              </w:rPr>
              <w:t>希磁</w:t>
            </w:r>
          </w:p>
        </w:tc>
        <w:tc>
          <w:tcPr>
            <w:tcW w:w="1759" w:type="pct"/>
            <w:tcBorders>
              <w:top w:val="single" w:color="auto" w:sz="4" w:space="0"/>
              <w:left w:val="single" w:color="auto" w:sz="4" w:space="0"/>
              <w:bottom w:val="single" w:color="auto" w:sz="4" w:space="0"/>
              <w:right w:val="single" w:color="auto" w:sz="4" w:space="0"/>
            </w:tcBorders>
            <w:noWrap/>
            <w:vAlign w:val="center"/>
          </w:tcPr>
          <w:p w14:paraId="37E6C1EF">
            <w:pPr>
              <w:pStyle w:val="28"/>
            </w:pPr>
            <w:r>
              <w:t>SFG-P</w:t>
            </w:r>
            <w:r>
              <w:rPr>
                <w:rFonts w:hint="eastAsia"/>
              </w:rPr>
              <w:t>系列</w:t>
            </w:r>
          </w:p>
        </w:tc>
        <w:tc>
          <w:tcPr>
            <w:tcW w:w="612" w:type="pct"/>
            <w:vMerge w:val="restart"/>
            <w:tcBorders>
              <w:top w:val="single" w:color="auto" w:sz="4" w:space="0"/>
              <w:left w:val="single" w:color="auto" w:sz="4" w:space="0"/>
              <w:bottom w:val="single" w:color="auto" w:sz="4" w:space="0"/>
              <w:right w:val="single" w:color="auto" w:sz="4" w:space="0"/>
            </w:tcBorders>
            <w:noWrap/>
            <w:vAlign w:val="center"/>
          </w:tcPr>
          <w:p w14:paraId="2AAAC198">
            <w:pPr>
              <w:pStyle w:val="28"/>
            </w:pPr>
            <w:r>
              <w:t>1</w:t>
            </w:r>
            <w:r>
              <w:rPr>
                <w:rFonts w:hint="eastAsia"/>
              </w:rPr>
              <w:t>只</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14:paraId="73D1C0E7">
            <w:pPr>
              <w:pStyle w:val="28"/>
            </w:pPr>
            <w:r>
              <w:rPr>
                <w:rFonts w:hint="eastAsia"/>
              </w:rPr>
              <w:t>同等</w:t>
            </w:r>
          </w:p>
        </w:tc>
      </w:tr>
      <w:tr w14:paraId="3F51102D">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789180">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729199">
            <w:pPr>
              <w:pStyle w:val="28"/>
            </w:pPr>
          </w:p>
        </w:tc>
        <w:tc>
          <w:tcPr>
            <w:tcW w:w="851" w:type="pct"/>
            <w:tcBorders>
              <w:top w:val="single" w:color="auto" w:sz="4" w:space="0"/>
              <w:left w:val="single" w:color="auto" w:sz="4" w:space="0"/>
              <w:bottom w:val="single" w:color="auto" w:sz="4" w:space="0"/>
              <w:right w:val="single" w:color="auto" w:sz="4" w:space="0"/>
            </w:tcBorders>
            <w:noWrap/>
            <w:vAlign w:val="center"/>
          </w:tcPr>
          <w:p w14:paraId="3F4879F7">
            <w:pPr>
              <w:pStyle w:val="28"/>
            </w:pPr>
            <w:r>
              <w:t>LEM</w:t>
            </w:r>
          </w:p>
        </w:tc>
        <w:tc>
          <w:tcPr>
            <w:tcW w:w="1759" w:type="pct"/>
            <w:tcBorders>
              <w:top w:val="single" w:color="auto" w:sz="4" w:space="0"/>
              <w:left w:val="single" w:color="auto" w:sz="4" w:space="0"/>
              <w:bottom w:val="single" w:color="auto" w:sz="4" w:space="0"/>
              <w:right w:val="single" w:color="auto" w:sz="4" w:space="0"/>
            </w:tcBorders>
            <w:noWrap/>
            <w:vAlign w:val="center"/>
          </w:tcPr>
          <w:p w14:paraId="5A7BDB56">
            <w:pPr>
              <w:pStyle w:val="28"/>
            </w:pPr>
            <w:r>
              <w:t>CTSR 3-TP</w:t>
            </w:r>
            <w:r>
              <w:rPr>
                <w:rFonts w:hint="eastAsia"/>
              </w:rPr>
              <w:t>系列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9A4D94">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9F10B7">
            <w:pPr>
              <w:pStyle w:val="28"/>
            </w:pPr>
          </w:p>
        </w:tc>
      </w:tr>
      <w:tr w14:paraId="5174EC70">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E66411">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99B239">
            <w:pPr>
              <w:pStyle w:val="28"/>
            </w:pPr>
          </w:p>
        </w:tc>
        <w:tc>
          <w:tcPr>
            <w:tcW w:w="851" w:type="pct"/>
            <w:tcBorders>
              <w:top w:val="single" w:color="auto" w:sz="4" w:space="0"/>
              <w:left w:val="single" w:color="auto" w:sz="4" w:space="0"/>
              <w:bottom w:val="single" w:color="auto" w:sz="4" w:space="0"/>
              <w:right w:val="single" w:color="auto" w:sz="4" w:space="0"/>
            </w:tcBorders>
            <w:noWrap/>
            <w:vAlign w:val="center"/>
          </w:tcPr>
          <w:p w14:paraId="1B570A94">
            <w:pPr>
              <w:pStyle w:val="28"/>
            </w:pPr>
            <w:r>
              <w:rPr>
                <w:rFonts w:hint="eastAsia"/>
              </w:rPr>
              <w:t>中车</w:t>
            </w:r>
          </w:p>
        </w:tc>
        <w:tc>
          <w:tcPr>
            <w:tcW w:w="1759" w:type="pct"/>
            <w:tcBorders>
              <w:top w:val="single" w:color="auto" w:sz="4" w:space="0"/>
              <w:left w:val="single" w:color="auto" w:sz="4" w:space="0"/>
              <w:bottom w:val="single" w:color="auto" w:sz="4" w:space="0"/>
              <w:right w:val="single" w:color="auto" w:sz="4" w:space="0"/>
            </w:tcBorders>
            <w:noWrap/>
            <w:vAlign w:val="center"/>
          </w:tcPr>
          <w:p w14:paraId="753D8962">
            <w:pPr>
              <w:pStyle w:val="28"/>
            </w:pPr>
            <w:r>
              <w:t>NACGL</w:t>
            </w:r>
            <w:r>
              <w:rPr>
                <w:rFonts w:hint="eastAsia"/>
              </w:rPr>
              <w:t>系列</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CC6897">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D54997">
            <w:pPr>
              <w:pStyle w:val="28"/>
            </w:pPr>
          </w:p>
        </w:tc>
      </w:tr>
      <w:tr w14:paraId="23B47BC6">
        <w:tblPrEx>
          <w:tblCellMar>
            <w:top w:w="0" w:type="dxa"/>
            <w:left w:w="108" w:type="dxa"/>
            <w:bottom w:w="0" w:type="dxa"/>
            <w:right w:w="108" w:type="dxa"/>
          </w:tblCellMar>
        </w:tblPrEx>
        <w:trPr>
          <w:trHeight w:val="416" w:hRule="atLeast"/>
          <w:jc w:val="center"/>
        </w:trPr>
        <w:tc>
          <w:tcPr>
            <w:tcW w:w="361" w:type="pct"/>
            <w:vMerge w:val="restart"/>
            <w:tcBorders>
              <w:top w:val="single" w:color="auto" w:sz="4" w:space="0"/>
              <w:left w:val="single" w:color="auto" w:sz="4" w:space="0"/>
              <w:right w:val="single" w:color="auto" w:sz="4" w:space="0"/>
            </w:tcBorders>
            <w:noWrap/>
            <w:vAlign w:val="center"/>
          </w:tcPr>
          <w:p w14:paraId="0D9F6293">
            <w:pPr>
              <w:pStyle w:val="28"/>
            </w:pPr>
            <w:r>
              <w:t>11</w:t>
            </w:r>
          </w:p>
        </w:tc>
        <w:tc>
          <w:tcPr>
            <w:tcW w:w="958" w:type="pct"/>
            <w:vMerge w:val="restart"/>
            <w:tcBorders>
              <w:top w:val="single" w:color="auto" w:sz="4" w:space="0"/>
              <w:left w:val="single" w:color="auto" w:sz="4" w:space="0"/>
              <w:right w:val="single" w:color="auto" w:sz="4" w:space="0"/>
            </w:tcBorders>
            <w:noWrap/>
            <w:vAlign w:val="center"/>
          </w:tcPr>
          <w:p w14:paraId="36956BBB">
            <w:pPr>
              <w:pStyle w:val="28"/>
            </w:pPr>
            <w:r>
              <w:rPr>
                <w:rFonts w:hint="eastAsia"/>
              </w:rPr>
              <w:t>逆变模块</w:t>
            </w:r>
          </w:p>
        </w:tc>
        <w:tc>
          <w:tcPr>
            <w:tcW w:w="851" w:type="pct"/>
            <w:tcBorders>
              <w:top w:val="single" w:color="auto" w:sz="4" w:space="0"/>
              <w:left w:val="single" w:color="auto" w:sz="4" w:space="0"/>
              <w:bottom w:val="single" w:color="auto" w:sz="4" w:space="0"/>
              <w:right w:val="single" w:color="auto" w:sz="4" w:space="0"/>
            </w:tcBorders>
            <w:noWrap/>
            <w:vAlign w:val="center"/>
          </w:tcPr>
          <w:p w14:paraId="1D52C5F8">
            <w:pPr>
              <w:pStyle w:val="28"/>
            </w:pPr>
            <w:r>
              <w:rPr>
                <w:rFonts w:hint="eastAsia"/>
              </w:rPr>
              <w:t>中车</w:t>
            </w:r>
          </w:p>
        </w:tc>
        <w:tc>
          <w:tcPr>
            <w:tcW w:w="1759" w:type="pct"/>
            <w:tcBorders>
              <w:top w:val="single" w:color="auto" w:sz="4" w:space="0"/>
              <w:left w:val="single" w:color="auto" w:sz="4" w:space="0"/>
              <w:bottom w:val="single" w:color="auto" w:sz="4" w:space="0"/>
              <w:right w:val="single" w:color="auto" w:sz="4" w:space="0"/>
            </w:tcBorders>
            <w:noWrap/>
            <w:vAlign w:val="center"/>
          </w:tcPr>
          <w:p w14:paraId="0B817731">
            <w:pPr>
              <w:pStyle w:val="28"/>
            </w:pPr>
            <w:r>
              <w:t>TG</w:t>
            </w:r>
            <w:r>
              <w:rPr>
                <w:rFonts w:hint="eastAsia"/>
              </w:rPr>
              <w:t>系列</w:t>
            </w:r>
          </w:p>
        </w:tc>
        <w:tc>
          <w:tcPr>
            <w:tcW w:w="612" w:type="pct"/>
            <w:vMerge w:val="restart"/>
            <w:tcBorders>
              <w:top w:val="single" w:color="auto" w:sz="4" w:space="0"/>
              <w:left w:val="single" w:color="auto" w:sz="4" w:space="0"/>
              <w:right w:val="single" w:color="auto" w:sz="4" w:space="0"/>
            </w:tcBorders>
            <w:noWrap/>
            <w:vAlign w:val="center"/>
          </w:tcPr>
          <w:p w14:paraId="00C639D8">
            <w:pPr>
              <w:pStyle w:val="28"/>
            </w:pPr>
            <w:r>
              <w:t>1</w:t>
            </w:r>
            <w:r>
              <w:rPr>
                <w:rFonts w:hint="eastAsia"/>
              </w:rPr>
              <w:t>套</w:t>
            </w:r>
          </w:p>
        </w:tc>
        <w:tc>
          <w:tcPr>
            <w:tcW w:w="459" w:type="pct"/>
            <w:vMerge w:val="restart"/>
            <w:tcBorders>
              <w:top w:val="single" w:color="auto" w:sz="4" w:space="0"/>
              <w:left w:val="single" w:color="auto" w:sz="4" w:space="0"/>
              <w:right w:val="single" w:color="auto" w:sz="4" w:space="0"/>
            </w:tcBorders>
            <w:vAlign w:val="center"/>
          </w:tcPr>
          <w:p w14:paraId="4FA5B8EF">
            <w:pPr>
              <w:pStyle w:val="28"/>
            </w:pPr>
            <w:r>
              <w:rPr>
                <w:rFonts w:hint="eastAsia"/>
              </w:rPr>
              <w:t>同等</w:t>
            </w:r>
          </w:p>
        </w:tc>
      </w:tr>
      <w:tr w14:paraId="20D60E0F">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5DFD1CCA">
            <w:pPr>
              <w:pStyle w:val="28"/>
            </w:pPr>
          </w:p>
        </w:tc>
        <w:tc>
          <w:tcPr>
            <w:tcW w:w="0" w:type="auto"/>
            <w:vMerge w:val="continue"/>
            <w:tcBorders>
              <w:left w:val="single" w:color="auto" w:sz="4" w:space="0"/>
              <w:right w:val="single" w:color="auto" w:sz="4" w:space="0"/>
            </w:tcBorders>
            <w:vAlign w:val="center"/>
          </w:tcPr>
          <w:p w14:paraId="5246649F">
            <w:pPr>
              <w:pStyle w:val="28"/>
            </w:pPr>
          </w:p>
        </w:tc>
        <w:tc>
          <w:tcPr>
            <w:tcW w:w="851" w:type="pct"/>
            <w:tcBorders>
              <w:top w:val="single" w:color="auto" w:sz="4" w:space="0"/>
              <w:left w:val="nil"/>
              <w:bottom w:val="single" w:color="auto" w:sz="4" w:space="0"/>
              <w:right w:val="single" w:color="auto" w:sz="4" w:space="0"/>
            </w:tcBorders>
            <w:noWrap/>
            <w:vAlign w:val="center"/>
          </w:tcPr>
          <w:p w14:paraId="718F0F89">
            <w:pPr>
              <w:pStyle w:val="28"/>
            </w:pPr>
            <w:r>
              <w:rPr>
                <w:rFonts w:hint="eastAsia"/>
              </w:rPr>
              <w:t>斯达</w:t>
            </w:r>
          </w:p>
        </w:tc>
        <w:tc>
          <w:tcPr>
            <w:tcW w:w="1759" w:type="pct"/>
            <w:tcBorders>
              <w:top w:val="single" w:color="auto" w:sz="4" w:space="0"/>
              <w:left w:val="nil"/>
              <w:bottom w:val="single" w:color="auto" w:sz="4" w:space="0"/>
              <w:right w:val="single" w:color="auto" w:sz="4" w:space="0"/>
            </w:tcBorders>
            <w:noWrap/>
            <w:vAlign w:val="center"/>
          </w:tcPr>
          <w:p w14:paraId="1853EA91">
            <w:pPr>
              <w:pStyle w:val="28"/>
            </w:pPr>
            <w:r>
              <w:t>GD</w:t>
            </w:r>
            <w:r>
              <w:rPr>
                <w:rFonts w:hint="eastAsia"/>
              </w:rPr>
              <w:t>系列</w:t>
            </w:r>
          </w:p>
        </w:tc>
        <w:tc>
          <w:tcPr>
            <w:tcW w:w="0" w:type="auto"/>
            <w:vMerge w:val="continue"/>
            <w:tcBorders>
              <w:left w:val="single" w:color="auto" w:sz="4" w:space="0"/>
              <w:right w:val="single" w:color="auto" w:sz="4" w:space="0"/>
            </w:tcBorders>
            <w:vAlign w:val="center"/>
          </w:tcPr>
          <w:p w14:paraId="665A7073">
            <w:pPr>
              <w:pStyle w:val="28"/>
            </w:pPr>
          </w:p>
        </w:tc>
        <w:tc>
          <w:tcPr>
            <w:tcW w:w="0" w:type="auto"/>
            <w:vMerge w:val="continue"/>
            <w:tcBorders>
              <w:left w:val="single" w:color="auto" w:sz="4" w:space="0"/>
              <w:right w:val="single" w:color="auto" w:sz="4" w:space="0"/>
            </w:tcBorders>
            <w:vAlign w:val="center"/>
          </w:tcPr>
          <w:p w14:paraId="3698D953">
            <w:pPr>
              <w:pStyle w:val="28"/>
            </w:pPr>
          </w:p>
        </w:tc>
      </w:tr>
      <w:tr w14:paraId="0ED31207">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4EE6252C">
            <w:pPr>
              <w:pStyle w:val="28"/>
            </w:pPr>
          </w:p>
        </w:tc>
        <w:tc>
          <w:tcPr>
            <w:tcW w:w="0" w:type="auto"/>
            <w:vMerge w:val="continue"/>
            <w:tcBorders>
              <w:left w:val="single" w:color="auto" w:sz="4" w:space="0"/>
              <w:right w:val="single" w:color="auto" w:sz="4" w:space="0"/>
            </w:tcBorders>
            <w:vAlign w:val="center"/>
          </w:tcPr>
          <w:p w14:paraId="6E2CED03">
            <w:pPr>
              <w:pStyle w:val="28"/>
            </w:pPr>
          </w:p>
        </w:tc>
        <w:tc>
          <w:tcPr>
            <w:tcW w:w="851" w:type="pct"/>
            <w:tcBorders>
              <w:top w:val="single" w:color="auto" w:sz="4" w:space="0"/>
              <w:left w:val="nil"/>
              <w:bottom w:val="single" w:color="auto" w:sz="4" w:space="0"/>
              <w:right w:val="single" w:color="auto" w:sz="4" w:space="0"/>
            </w:tcBorders>
            <w:noWrap/>
            <w:vAlign w:val="center"/>
          </w:tcPr>
          <w:p w14:paraId="4C8D78BC">
            <w:pPr>
              <w:pStyle w:val="28"/>
            </w:pPr>
            <w:r>
              <w:rPr>
                <w:rFonts w:hint="eastAsia"/>
              </w:rPr>
              <w:t>安森美</w:t>
            </w:r>
          </w:p>
        </w:tc>
        <w:tc>
          <w:tcPr>
            <w:tcW w:w="1759" w:type="pct"/>
            <w:tcBorders>
              <w:top w:val="single" w:color="auto" w:sz="4" w:space="0"/>
              <w:left w:val="nil"/>
              <w:bottom w:val="single" w:color="auto" w:sz="4" w:space="0"/>
              <w:right w:val="single" w:color="auto" w:sz="4" w:space="0"/>
            </w:tcBorders>
            <w:noWrap/>
            <w:vAlign w:val="center"/>
          </w:tcPr>
          <w:p w14:paraId="6A5DACD2">
            <w:pPr>
              <w:pStyle w:val="28"/>
            </w:pPr>
            <w:r>
              <w:t>NXH</w:t>
            </w:r>
            <w:r>
              <w:rPr>
                <w:rFonts w:hint="eastAsia"/>
              </w:rPr>
              <w:t>系列</w:t>
            </w:r>
          </w:p>
        </w:tc>
        <w:tc>
          <w:tcPr>
            <w:tcW w:w="0" w:type="auto"/>
            <w:vMerge w:val="continue"/>
            <w:tcBorders>
              <w:left w:val="single" w:color="auto" w:sz="4" w:space="0"/>
              <w:right w:val="single" w:color="auto" w:sz="4" w:space="0"/>
            </w:tcBorders>
            <w:vAlign w:val="center"/>
          </w:tcPr>
          <w:p w14:paraId="26BBDD0A">
            <w:pPr>
              <w:pStyle w:val="28"/>
            </w:pPr>
          </w:p>
        </w:tc>
        <w:tc>
          <w:tcPr>
            <w:tcW w:w="0" w:type="auto"/>
            <w:vMerge w:val="continue"/>
            <w:tcBorders>
              <w:left w:val="single" w:color="auto" w:sz="4" w:space="0"/>
              <w:right w:val="single" w:color="auto" w:sz="4" w:space="0"/>
            </w:tcBorders>
            <w:vAlign w:val="center"/>
          </w:tcPr>
          <w:p w14:paraId="101B9FED">
            <w:pPr>
              <w:pStyle w:val="28"/>
            </w:pPr>
          </w:p>
        </w:tc>
      </w:tr>
      <w:tr w14:paraId="3C1D9BA4">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bottom w:val="nil"/>
              <w:right w:val="single" w:color="auto" w:sz="4" w:space="0"/>
            </w:tcBorders>
            <w:vAlign w:val="center"/>
          </w:tcPr>
          <w:p w14:paraId="7E00BA3D">
            <w:pPr>
              <w:pStyle w:val="28"/>
            </w:pPr>
          </w:p>
        </w:tc>
        <w:tc>
          <w:tcPr>
            <w:tcW w:w="0" w:type="auto"/>
            <w:vMerge w:val="continue"/>
            <w:tcBorders>
              <w:left w:val="single" w:color="auto" w:sz="4" w:space="0"/>
              <w:bottom w:val="nil"/>
              <w:right w:val="single" w:color="auto" w:sz="4" w:space="0"/>
            </w:tcBorders>
            <w:vAlign w:val="center"/>
          </w:tcPr>
          <w:p w14:paraId="7CF5A247">
            <w:pPr>
              <w:pStyle w:val="28"/>
            </w:pPr>
          </w:p>
        </w:tc>
        <w:tc>
          <w:tcPr>
            <w:tcW w:w="851" w:type="pct"/>
            <w:tcBorders>
              <w:top w:val="single" w:color="auto" w:sz="4" w:space="0"/>
              <w:left w:val="nil"/>
              <w:bottom w:val="single" w:color="auto" w:sz="4" w:space="0"/>
              <w:right w:val="single" w:color="auto" w:sz="4" w:space="0"/>
            </w:tcBorders>
            <w:noWrap/>
            <w:vAlign w:val="center"/>
          </w:tcPr>
          <w:p w14:paraId="765F8230">
            <w:pPr>
              <w:pStyle w:val="28"/>
            </w:pPr>
            <w:r>
              <w:rPr>
                <w:rFonts w:hint="eastAsia"/>
              </w:rPr>
              <w:t>英飞凌</w:t>
            </w:r>
          </w:p>
        </w:tc>
        <w:tc>
          <w:tcPr>
            <w:tcW w:w="1759" w:type="pct"/>
            <w:tcBorders>
              <w:top w:val="single" w:color="auto" w:sz="4" w:space="0"/>
              <w:left w:val="nil"/>
              <w:bottom w:val="single" w:color="auto" w:sz="4" w:space="0"/>
              <w:right w:val="single" w:color="auto" w:sz="4" w:space="0"/>
            </w:tcBorders>
            <w:noWrap/>
            <w:vAlign w:val="center"/>
          </w:tcPr>
          <w:p w14:paraId="49126A24">
            <w:pPr>
              <w:pStyle w:val="28"/>
            </w:pPr>
            <w:r>
              <w:rPr>
                <w:rFonts w:hint="eastAsia"/>
              </w:rPr>
              <w:t>F3L系列</w:t>
            </w:r>
          </w:p>
        </w:tc>
        <w:tc>
          <w:tcPr>
            <w:tcW w:w="0" w:type="auto"/>
            <w:vMerge w:val="continue"/>
            <w:tcBorders>
              <w:left w:val="single" w:color="auto" w:sz="4" w:space="0"/>
              <w:bottom w:val="nil"/>
              <w:right w:val="single" w:color="auto" w:sz="4" w:space="0"/>
            </w:tcBorders>
            <w:vAlign w:val="center"/>
          </w:tcPr>
          <w:p w14:paraId="627EC6E9">
            <w:pPr>
              <w:pStyle w:val="28"/>
            </w:pPr>
          </w:p>
        </w:tc>
        <w:tc>
          <w:tcPr>
            <w:tcW w:w="0" w:type="auto"/>
            <w:vMerge w:val="continue"/>
            <w:tcBorders>
              <w:left w:val="single" w:color="auto" w:sz="4" w:space="0"/>
              <w:bottom w:val="nil"/>
              <w:right w:val="single" w:color="auto" w:sz="4" w:space="0"/>
            </w:tcBorders>
            <w:vAlign w:val="center"/>
          </w:tcPr>
          <w:p w14:paraId="34A1BEB3">
            <w:pPr>
              <w:pStyle w:val="28"/>
            </w:pPr>
          </w:p>
        </w:tc>
      </w:tr>
      <w:tr w14:paraId="473C8565">
        <w:tblPrEx>
          <w:tblCellMar>
            <w:top w:w="0" w:type="dxa"/>
            <w:left w:w="108" w:type="dxa"/>
            <w:bottom w:w="0" w:type="dxa"/>
            <w:right w:w="108" w:type="dxa"/>
          </w:tblCellMar>
        </w:tblPrEx>
        <w:trPr>
          <w:trHeight w:val="291" w:hRule="atLeast"/>
          <w:jc w:val="center"/>
        </w:trPr>
        <w:tc>
          <w:tcPr>
            <w:tcW w:w="361" w:type="pct"/>
            <w:vMerge w:val="restart"/>
            <w:tcBorders>
              <w:top w:val="single" w:color="auto" w:sz="4" w:space="0"/>
              <w:left w:val="single" w:color="auto" w:sz="4" w:space="0"/>
              <w:right w:val="single" w:color="auto" w:sz="4" w:space="0"/>
            </w:tcBorders>
            <w:noWrap/>
            <w:vAlign w:val="center"/>
          </w:tcPr>
          <w:p w14:paraId="52676298">
            <w:pPr>
              <w:pStyle w:val="28"/>
            </w:pPr>
            <w:r>
              <w:t>12</w:t>
            </w:r>
          </w:p>
        </w:tc>
        <w:tc>
          <w:tcPr>
            <w:tcW w:w="958" w:type="pct"/>
            <w:vMerge w:val="restart"/>
            <w:tcBorders>
              <w:top w:val="single" w:color="auto" w:sz="4" w:space="0"/>
              <w:left w:val="single" w:color="auto" w:sz="4" w:space="0"/>
              <w:right w:val="single" w:color="auto" w:sz="4" w:space="0"/>
            </w:tcBorders>
            <w:noWrap/>
            <w:vAlign w:val="center"/>
          </w:tcPr>
          <w:p w14:paraId="633E4911">
            <w:pPr>
              <w:pStyle w:val="28"/>
            </w:pPr>
            <w:r>
              <w:rPr>
                <w:rFonts w:hint="eastAsia"/>
              </w:rPr>
              <w:t>升压模块</w:t>
            </w:r>
          </w:p>
        </w:tc>
        <w:tc>
          <w:tcPr>
            <w:tcW w:w="851" w:type="pct"/>
            <w:tcBorders>
              <w:top w:val="single" w:color="auto" w:sz="4" w:space="0"/>
              <w:left w:val="nil"/>
              <w:bottom w:val="nil"/>
              <w:right w:val="single" w:color="auto" w:sz="4" w:space="0"/>
            </w:tcBorders>
            <w:noWrap/>
            <w:vAlign w:val="center"/>
          </w:tcPr>
          <w:p w14:paraId="678607EF">
            <w:pPr>
              <w:pStyle w:val="28"/>
            </w:pPr>
            <w:r>
              <w:rPr>
                <w:rFonts w:hint="eastAsia"/>
              </w:rPr>
              <w:t>中车</w:t>
            </w:r>
          </w:p>
        </w:tc>
        <w:tc>
          <w:tcPr>
            <w:tcW w:w="1759" w:type="pct"/>
            <w:tcBorders>
              <w:top w:val="single" w:color="auto" w:sz="4" w:space="0"/>
              <w:left w:val="nil"/>
              <w:bottom w:val="nil"/>
              <w:right w:val="single" w:color="auto" w:sz="4" w:space="0"/>
            </w:tcBorders>
            <w:noWrap/>
            <w:vAlign w:val="center"/>
          </w:tcPr>
          <w:p w14:paraId="1BEB5835">
            <w:pPr>
              <w:pStyle w:val="28"/>
            </w:pPr>
            <w:r>
              <w:t>TH</w:t>
            </w:r>
            <w:r>
              <w:rPr>
                <w:rFonts w:hint="eastAsia"/>
              </w:rPr>
              <w:t>系列</w:t>
            </w:r>
          </w:p>
        </w:tc>
        <w:tc>
          <w:tcPr>
            <w:tcW w:w="612" w:type="pct"/>
            <w:vMerge w:val="restart"/>
            <w:tcBorders>
              <w:top w:val="single" w:color="auto" w:sz="4" w:space="0"/>
              <w:left w:val="single" w:color="auto" w:sz="4" w:space="0"/>
              <w:right w:val="single" w:color="auto" w:sz="4" w:space="0"/>
            </w:tcBorders>
            <w:noWrap/>
            <w:vAlign w:val="center"/>
          </w:tcPr>
          <w:p w14:paraId="2EA3B0D0">
            <w:pPr>
              <w:pStyle w:val="28"/>
            </w:pPr>
            <w:r>
              <w:t>1</w:t>
            </w:r>
            <w:r>
              <w:rPr>
                <w:rFonts w:hint="eastAsia"/>
              </w:rPr>
              <w:t>套</w:t>
            </w:r>
          </w:p>
        </w:tc>
        <w:tc>
          <w:tcPr>
            <w:tcW w:w="459" w:type="pct"/>
            <w:vMerge w:val="restart"/>
            <w:tcBorders>
              <w:top w:val="single" w:color="auto" w:sz="4" w:space="0"/>
              <w:left w:val="single" w:color="auto" w:sz="4" w:space="0"/>
              <w:right w:val="single" w:color="auto" w:sz="4" w:space="0"/>
            </w:tcBorders>
            <w:vAlign w:val="center"/>
          </w:tcPr>
          <w:p w14:paraId="58C2E0F2">
            <w:pPr>
              <w:pStyle w:val="28"/>
            </w:pPr>
            <w:r>
              <w:rPr>
                <w:rFonts w:hint="eastAsia"/>
              </w:rPr>
              <w:t>同等</w:t>
            </w:r>
          </w:p>
        </w:tc>
      </w:tr>
      <w:tr w14:paraId="06AA64CE">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77D65997">
            <w:pPr>
              <w:pStyle w:val="28"/>
            </w:pPr>
          </w:p>
        </w:tc>
        <w:tc>
          <w:tcPr>
            <w:tcW w:w="0" w:type="auto"/>
            <w:vMerge w:val="continue"/>
            <w:tcBorders>
              <w:left w:val="single" w:color="auto" w:sz="4" w:space="0"/>
              <w:right w:val="single" w:color="auto" w:sz="4" w:space="0"/>
            </w:tcBorders>
            <w:vAlign w:val="center"/>
          </w:tcPr>
          <w:p w14:paraId="7537F741">
            <w:pPr>
              <w:pStyle w:val="28"/>
            </w:pPr>
          </w:p>
        </w:tc>
        <w:tc>
          <w:tcPr>
            <w:tcW w:w="851" w:type="pct"/>
            <w:tcBorders>
              <w:top w:val="single" w:color="auto" w:sz="4" w:space="0"/>
              <w:left w:val="nil"/>
              <w:bottom w:val="single" w:color="auto" w:sz="4" w:space="0"/>
              <w:right w:val="single" w:color="auto" w:sz="4" w:space="0"/>
            </w:tcBorders>
            <w:noWrap/>
            <w:vAlign w:val="center"/>
          </w:tcPr>
          <w:p w14:paraId="7F156D20">
            <w:pPr>
              <w:pStyle w:val="28"/>
            </w:pPr>
            <w:r>
              <w:rPr>
                <w:rFonts w:hint="eastAsia"/>
              </w:rPr>
              <w:t>斯达</w:t>
            </w:r>
          </w:p>
        </w:tc>
        <w:tc>
          <w:tcPr>
            <w:tcW w:w="1759" w:type="pct"/>
            <w:tcBorders>
              <w:top w:val="single" w:color="auto" w:sz="4" w:space="0"/>
              <w:left w:val="nil"/>
              <w:bottom w:val="single" w:color="auto" w:sz="4" w:space="0"/>
              <w:right w:val="single" w:color="auto" w:sz="4" w:space="0"/>
            </w:tcBorders>
            <w:noWrap/>
            <w:vAlign w:val="center"/>
          </w:tcPr>
          <w:p w14:paraId="74084FD8">
            <w:pPr>
              <w:pStyle w:val="28"/>
            </w:pPr>
            <w:r>
              <w:t>GD</w:t>
            </w:r>
            <w:r>
              <w:rPr>
                <w:rFonts w:hint="eastAsia"/>
              </w:rPr>
              <w:t>系列</w:t>
            </w:r>
          </w:p>
        </w:tc>
        <w:tc>
          <w:tcPr>
            <w:tcW w:w="0" w:type="auto"/>
            <w:vMerge w:val="continue"/>
            <w:tcBorders>
              <w:left w:val="single" w:color="auto" w:sz="4" w:space="0"/>
              <w:right w:val="single" w:color="auto" w:sz="4" w:space="0"/>
            </w:tcBorders>
            <w:vAlign w:val="center"/>
          </w:tcPr>
          <w:p w14:paraId="7DEC0EF8">
            <w:pPr>
              <w:pStyle w:val="28"/>
            </w:pPr>
          </w:p>
        </w:tc>
        <w:tc>
          <w:tcPr>
            <w:tcW w:w="0" w:type="auto"/>
            <w:vMerge w:val="continue"/>
            <w:tcBorders>
              <w:left w:val="single" w:color="auto" w:sz="4" w:space="0"/>
              <w:right w:val="single" w:color="auto" w:sz="4" w:space="0"/>
            </w:tcBorders>
            <w:vAlign w:val="center"/>
          </w:tcPr>
          <w:p w14:paraId="640749E3">
            <w:pPr>
              <w:pStyle w:val="28"/>
            </w:pPr>
          </w:p>
        </w:tc>
      </w:tr>
      <w:tr w14:paraId="7CC8E743">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right w:val="single" w:color="auto" w:sz="4" w:space="0"/>
            </w:tcBorders>
            <w:vAlign w:val="center"/>
          </w:tcPr>
          <w:p w14:paraId="51E9F66C">
            <w:pPr>
              <w:pStyle w:val="28"/>
            </w:pPr>
          </w:p>
        </w:tc>
        <w:tc>
          <w:tcPr>
            <w:tcW w:w="0" w:type="auto"/>
            <w:vMerge w:val="continue"/>
            <w:tcBorders>
              <w:left w:val="single" w:color="auto" w:sz="4" w:space="0"/>
              <w:right w:val="single" w:color="auto" w:sz="4" w:space="0"/>
            </w:tcBorders>
            <w:vAlign w:val="center"/>
          </w:tcPr>
          <w:p w14:paraId="179F60EF">
            <w:pPr>
              <w:pStyle w:val="28"/>
            </w:pPr>
          </w:p>
        </w:tc>
        <w:tc>
          <w:tcPr>
            <w:tcW w:w="851" w:type="pct"/>
            <w:tcBorders>
              <w:top w:val="single" w:color="auto" w:sz="4" w:space="0"/>
              <w:left w:val="nil"/>
              <w:bottom w:val="single" w:color="auto" w:sz="4" w:space="0"/>
              <w:right w:val="single" w:color="auto" w:sz="4" w:space="0"/>
            </w:tcBorders>
            <w:noWrap/>
            <w:vAlign w:val="center"/>
          </w:tcPr>
          <w:p w14:paraId="5856602E">
            <w:pPr>
              <w:pStyle w:val="28"/>
            </w:pPr>
            <w:r>
              <w:rPr>
                <w:rFonts w:hint="eastAsia"/>
              </w:rPr>
              <w:t>安森美</w:t>
            </w:r>
          </w:p>
        </w:tc>
        <w:tc>
          <w:tcPr>
            <w:tcW w:w="1759" w:type="pct"/>
            <w:tcBorders>
              <w:top w:val="single" w:color="auto" w:sz="4" w:space="0"/>
              <w:left w:val="nil"/>
              <w:bottom w:val="single" w:color="auto" w:sz="4" w:space="0"/>
              <w:right w:val="single" w:color="auto" w:sz="4" w:space="0"/>
            </w:tcBorders>
            <w:noWrap/>
            <w:vAlign w:val="center"/>
          </w:tcPr>
          <w:p w14:paraId="04B496C3">
            <w:pPr>
              <w:pStyle w:val="28"/>
            </w:pPr>
            <w:r>
              <w:t>NXH</w:t>
            </w:r>
            <w:r>
              <w:rPr>
                <w:rFonts w:hint="eastAsia"/>
              </w:rPr>
              <w:t>系列</w:t>
            </w:r>
          </w:p>
        </w:tc>
        <w:tc>
          <w:tcPr>
            <w:tcW w:w="0" w:type="auto"/>
            <w:vMerge w:val="continue"/>
            <w:tcBorders>
              <w:left w:val="single" w:color="auto" w:sz="4" w:space="0"/>
              <w:right w:val="single" w:color="auto" w:sz="4" w:space="0"/>
            </w:tcBorders>
            <w:vAlign w:val="center"/>
          </w:tcPr>
          <w:p w14:paraId="1F086659">
            <w:pPr>
              <w:pStyle w:val="28"/>
            </w:pPr>
          </w:p>
        </w:tc>
        <w:tc>
          <w:tcPr>
            <w:tcW w:w="0" w:type="auto"/>
            <w:vMerge w:val="continue"/>
            <w:tcBorders>
              <w:left w:val="single" w:color="auto" w:sz="4" w:space="0"/>
              <w:right w:val="single" w:color="auto" w:sz="4" w:space="0"/>
            </w:tcBorders>
            <w:vAlign w:val="center"/>
          </w:tcPr>
          <w:p w14:paraId="204B1DF4">
            <w:pPr>
              <w:pStyle w:val="28"/>
            </w:pPr>
          </w:p>
        </w:tc>
      </w:tr>
      <w:tr w14:paraId="0DAED963">
        <w:tblPrEx>
          <w:tblCellMar>
            <w:top w:w="0" w:type="dxa"/>
            <w:left w:w="108" w:type="dxa"/>
            <w:bottom w:w="0" w:type="dxa"/>
            <w:right w:w="108" w:type="dxa"/>
          </w:tblCellMar>
        </w:tblPrEx>
        <w:trPr>
          <w:trHeight w:val="270" w:hRule="atLeast"/>
          <w:jc w:val="center"/>
        </w:trPr>
        <w:tc>
          <w:tcPr>
            <w:tcW w:w="0" w:type="auto"/>
            <w:vMerge w:val="continue"/>
            <w:tcBorders>
              <w:left w:val="single" w:color="auto" w:sz="4" w:space="0"/>
              <w:bottom w:val="nil"/>
              <w:right w:val="single" w:color="auto" w:sz="4" w:space="0"/>
            </w:tcBorders>
            <w:vAlign w:val="center"/>
          </w:tcPr>
          <w:p w14:paraId="3FA2845D">
            <w:pPr>
              <w:pStyle w:val="28"/>
            </w:pPr>
          </w:p>
        </w:tc>
        <w:tc>
          <w:tcPr>
            <w:tcW w:w="0" w:type="auto"/>
            <w:vMerge w:val="continue"/>
            <w:tcBorders>
              <w:left w:val="single" w:color="auto" w:sz="4" w:space="0"/>
              <w:bottom w:val="nil"/>
              <w:right w:val="single" w:color="auto" w:sz="4" w:space="0"/>
            </w:tcBorders>
            <w:vAlign w:val="center"/>
          </w:tcPr>
          <w:p w14:paraId="58BCCB43">
            <w:pPr>
              <w:pStyle w:val="28"/>
            </w:pPr>
          </w:p>
        </w:tc>
        <w:tc>
          <w:tcPr>
            <w:tcW w:w="851" w:type="pct"/>
            <w:tcBorders>
              <w:top w:val="single" w:color="auto" w:sz="4" w:space="0"/>
              <w:left w:val="nil"/>
              <w:bottom w:val="single" w:color="auto" w:sz="4" w:space="0"/>
              <w:right w:val="single" w:color="auto" w:sz="4" w:space="0"/>
            </w:tcBorders>
            <w:noWrap/>
            <w:vAlign w:val="center"/>
          </w:tcPr>
          <w:p w14:paraId="5DCEB443">
            <w:pPr>
              <w:pStyle w:val="28"/>
            </w:pPr>
            <w:r>
              <w:rPr>
                <w:rFonts w:hint="eastAsia"/>
              </w:rPr>
              <w:t>英飞凌</w:t>
            </w:r>
          </w:p>
        </w:tc>
        <w:tc>
          <w:tcPr>
            <w:tcW w:w="1759" w:type="pct"/>
            <w:tcBorders>
              <w:top w:val="single" w:color="auto" w:sz="4" w:space="0"/>
              <w:left w:val="nil"/>
              <w:bottom w:val="single" w:color="auto" w:sz="4" w:space="0"/>
              <w:right w:val="single" w:color="auto" w:sz="4" w:space="0"/>
            </w:tcBorders>
            <w:noWrap/>
            <w:vAlign w:val="center"/>
          </w:tcPr>
          <w:p w14:paraId="5DE64FE5">
            <w:pPr>
              <w:pStyle w:val="28"/>
            </w:pPr>
            <w:r>
              <w:rPr>
                <w:rFonts w:hint="eastAsia"/>
              </w:rPr>
              <w:t>F3L系列</w:t>
            </w:r>
          </w:p>
        </w:tc>
        <w:tc>
          <w:tcPr>
            <w:tcW w:w="0" w:type="auto"/>
            <w:vMerge w:val="continue"/>
            <w:tcBorders>
              <w:left w:val="single" w:color="auto" w:sz="4" w:space="0"/>
              <w:bottom w:val="nil"/>
              <w:right w:val="single" w:color="auto" w:sz="4" w:space="0"/>
            </w:tcBorders>
            <w:vAlign w:val="center"/>
          </w:tcPr>
          <w:p w14:paraId="6793F10F">
            <w:pPr>
              <w:pStyle w:val="28"/>
            </w:pPr>
          </w:p>
        </w:tc>
        <w:tc>
          <w:tcPr>
            <w:tcW w:w="0" w:type="auto"/>
            <w:vMerge w:val="continue"/>
            <w:tcBorders>
              <w:left w:val="single" w:color="auto" w:sz="4" w:space="0"/>
              <w:bottom w:val="nil"/>
              <w:right w:val="single" w:color="auto" w:sz="4" w:space="0"/>
            </w:tcBorders>
            <w:vAlign w:val="center"/>
          </w:tcPr>
          <w:p w14:paraId="3193C9BB">
            <w:pPr>
              <w:pStyle w:val="28"/>
            </w:pPr>
          </w:p>
        </w:tc>
      </w:tr>
      <w:tr w14:paraId="077A43F1">
        <w:tblPrEx>
          <w:tblCellMar>
            <w:top w:w="0" w:type="dxa"/>
            <w:left w:w="108" w:type="dxa"/>
            <w:bottom w:w="0" w:type="dxa"/>
            <w:right w:w="108" w:type="dxa"/>
          </w:tblCellMar>
        </w:tblPrEx>
        <w:trPr>
          <w:trHeight w:val="270" w:hRule="atLeast"/>
          <w:jc w:val="center"/>
        </w:trPr>
        <w:tc>
          <w:tcPr>
            <w:tcW w:w="361" w:type="pct"/>
            <w:vMerge w:val="restart"/>
            <w:tcBorders>
              <w:top w:val="single" w:color="auto" w:sz="4" w:space="0"/>
              <w:left w:val="single" w:color="auto" w:sz="4" w:space="0"/>
              <w:bottom w:val="single" w:color="auto" w:sz="4" w:space="0"/>
              <w:right w:val="single" w:color="auto" w:sz="4" w:space="0"/>
            </w:tcBorders>
            <w:noWrap/>
            <w:vAlign w:val="center"/>
          </w:tcPr>
          <w:p w14:paraId="425CFC70">
            <w:pPr>
              <w:pStyle w:val="28"/>
            </w:pPr>
            <w:r>
              <w:t>13</w:t>
            </w:r>
          </w:p>
        </w:tc>
        <w:tc>
          <w:tcPr>
            <w:tcW w:w="958" w:type="pct"/>
            <w:vMerge w:val="restart"/>
            <w:tcBorders>
              <w:top w:val="single" w:color="auto" w:sz="4" w:space="0"/>
              <w:left w:val="single" w:color="auto" w:sz="4" w:space="0"/>
              <w:bottom w:val="single" w:color="000000" w:sz="4" w:space="0"/>
              <w:right w:val="single" w:color="auto" w:sz="4" w:space="0"/>
            </w:tcBorders>
            <w:noWrap/>
            <w:vAlign w:val="center"/>
          </w:tcPr>
          <w:p w14:paraId="044D1B59">
            <w:pPr>
              <w:pStyle w:val="28"/>
            </w:pPr>
            <w:r>
              <w:rPr>
                <w:rFonts w:hint="eastAsia"/>
              </w:rPr>
              <w:t>交流滤波电容</w:t>
            </w:r>
          </w:p>
        </w:tc>
        <w:tc>
          <w:tcPr>
            <w:tcW w:w="851" w:type="pct"/>
            <w:tcBorders>
              <w:top w:val="single" w:color="auto" w:sz="4" w:space="0"/>
              <w:left w:val="nil"/>
              <w:bottom w:val="single" w:color="auto" w:sz="4" w:space="0"/>
              <w:right w:val="single" w:color="auto" w:sz="4" w:space="0"/>
            </w:tcBorders>
            <w:noWrap/>
            <w:vAlign w:val="center"/>
          </w:tcPr>
          <w:p w14:paraId="1D1EE3D3">
            <w:pPr>
              <w:pStyle w:val="28"/>
            </w:pPr>
            <w:r>
              <w:rPr>
                <w:rFonts w:hint="eastAsia"/>
              </w:rPr>
              <w:t>厦门法拉</w:t>
            </w:r>
          </w:p>
        </w:tc>
        <w:tc>
          <w:tcPr>
            <w:tcW w:w="1759" w:type="pct"/>
            <w:tcBorders>
              <w:top w:val="single" w:color="auto" w:sz="4" w:space="0"/>
              <w:left w:val="nil"/>
              <w:bottom w:val="single" w:color="auto" w:sz="4" w:space="0"/>
              <w:right w:val="single" w:color="auto" w:sz="4" w:space="0"/>
            </w:tcBorders>
            <w:noWrap/>
            <w:vAlign w:val="center"/>
          </w:tcPr>
          <w:p w14:paraId="4516DBDC">
            <w:pPr>
              <w:pStyle w:val="28"/>
            </w:pPr>
            <w:r>
              <w:t>C6A</w:t>
            </w:r>
            <w:r>
              <w:rPr>
                <w:rFonts w:hint="eastAsia"/>
              </w:rPr>
              <w:t>系列</w:t>
            </w:r>
          </w:p>
        </w:tc>
        <w:tc>
          <w:tcPr>
            <w:tcW w:w="612" w:type="pct"/>
            <w:vMerge w:val="restart"/>
            <w:tcBorders>
              <w:top w:val="single" w:color="auto" w:sz="4" w:space="0"/>
              <w:left w:val="single" w:color="auto" w:sz="4" w:space="0"/>
              <w:bottom w:val="single" w:color="000000" w:sz="4" w:space="0"/>
              <w:right w:val="single" w:color="auto" w:sz="4" w:space="0"/>
            </w:tcBorders>
            <w:noWrap/>
            <w:vAlign w:val="center"/>
          </w:tcPr>
          <w:p w14:paraId="18FD6855">
            <w:pPr>
              <w:pStyle w:val="28"/>
            </w:pPr>
            <w:r>
              <w:rPr>
                <w:rFonts w:hint="eastAsia"/>
              </w:rPr>
              <w:t>12只</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14:paraId="4C983D73">
            <w:pPr>
              <w:pStyle w:val="28"/>
            </w:pPr>
            <w:r>
              <w:rPr>
                <w:rFonts w:hint="eastAsia"/>
              </w:rPr>
              <w:t>同等</w:t>
            </w:r>
          </w:p>
        </w:tc>
      </w:tr>
      <w:tr w14:paraId="7B2FDBAF">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8D1BE3">
            <w:pPr>
              <w:pStyle w:val="28"/>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5873BB2A">
            <w:pPr>
              <w:pStyle w:val="28"/>
            </w:pPr>
          </w:p>
        </w:tc>
        <w:tc>
          <w:tcPr>
            <w:tcW w:w="851" w:type="pct"/>
            <w:tcBorders>
              <w:top w:val="single" w:color="auto" w:sz="4" w:space="0"/>
              <w:left w:val="nil"/>
              <w:bottom w:val="single" w:color="auto" w:sz="4" w:space="0"/>
              <w:right w:val="single" w:color="auto" w:sz="4" w:space="0"/>
            </w:tcBorders>
            <w:noWrap/>
            <w:vAlign w:val="center"/>
          </w:tcPr>
          <w:p w14:paraId="6AE02315">
            <w:pPr>
              <w:pStyle w:val="28"/>
            </w:pPr>
            <w:r>
              <w:t>BM</w:t>
            </w:r>
          </w:p>
        </w:tc>
        <w:tc>
          <w:tcPr>
            <w:tcW w:w="1759" w:type="pct"/>
            <w:tcBorders>
              <w:top w:val="single" w:color="auto" w:sz="4" w:space="0"/>
              <w:left w:val="nil"/>
              <w:bottom w:val="single" w:color="auto" w:sz="4" w:space="0"/>
              <w:right w:val="single" w:color="auto" w:sz="4" w:space="0"/>
            </w:tcBorders>
            <w:noWrap/>
            <w:vAlign w:val="center"/>
          </w:tcPr>
          <w:p w14:paraId="33AEBAE4">
            <w:pPr>
              <w:pStyle w:val="28"/>
            </w:pPr>
            <w:r>
              <w:t>1GFBH</w:t>
            </w:r>
            <w:r>
              <w:rPr>
                <w:rFonts w:hint="eastAsia"/>
              </w:rPr>
              <w:t>系列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514483C9">
            <w:pPr>
              <w:pStyle w:val="28"/>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809062">
            <w:pPr>
              <w:pStyle w:val="28"/>
            </w:pPr>
          </w:p>
        </w:tc>
      </w:tr>
      <w:tr w14:paraId="5CEDFDBC">
        <w:tblPrEx>
          <w:tblCellMar>
            <w:top w:w="0" w:type="dxa"/>
            <w:left w:w="108" w:type="dxa"/>
            <w:bottom w:w="0" w:type="dxa"/>
            <w:right w:w="108" w:type="dxa"/>
          </w:tblCellMar>
        </w:tblPrEx>
        <w:trPr>
          <w:trHeight w:val="270" w:hRule="atLeast"/>
          <w:jc w:val="center"/>
        </w:trPr>
        <w:tc>
          <w:tcPr>
            <w:tcW w:w="361" w:type="pct"/>
            <w:tcBorders>
              <w:top w:val="single" w:color="auto" w:sz="4" w:space="0"/>
              <w:left w:val="single" w:color="auto" w:sz="4" w:space="0"/>
              <w:bottom w:val="single" w:color="auto" w:sz="4" w:space="0"/>
              <w:right w:val="single" w:color="auto" w:sz="4" w:space="0"/>
            </w:tcBorders>
            <w:noWrap/>
            <w:vAlign w:val="center"/>
          </w:tcPr>
          <w:p w14:paraId="760BD1D7">
            <w:pPr>
              <w:pStyle w:val="28"/>
            </w:pPr>
            <w:r>
              <w:t>14</w:t>
            </w:r>
          </w:p>
        </w:tc>
        <w:tc>
          <w:tcPr>
            <w:tcW w:w="958" w:type="pct"/>
            <w:tcBorders>
              <w:top w:val="single" w:color="auto" w:sz="4" w:space="0"/>
              <w:left w:val="single" w:color="auto" w:sz="4" w:space="0"/>
              <w:bottom w:val="single" w:color="auto" w:sz="4" w:space="0"/>
              <w:right w:val="single" w:color="auto" w:sz="4" w:space="0"/>
            </w:tcBorders>
            <w:noWrap/>
            <w:vAlign w:val="center"/>
          </w:tcPr>
          <w:p w14:paraId="3E7E1C51">
            <w:pPr>
              <w:pStyle w:val="28"/>
            </w:pPr>
            <w:r>
              <w:t>DSP</w:t>
            </w:r>
            <w:r>
              <w:rPr>
                <w:rFonts w:hint="eastAsia"/>
              </w:rPr>
              <w:t>控制芯片</w:t>
            </w:r>
          </w:p>
        </w:tc>
        <w:tc>
          <w:tcPr>
            <w:tcW w:w="851" w:type="pct"/>
            <w:tcBorders>
              <w:top w:val="single" w:color="auto" w:sz="4" w:space="0"/>
              <w:left w:val="nil"/>
              <w:bottom w:val="single" w:color="auto" w:sz="4" w:space="0"/>
              <w:right w:val="single" w:color="auto" w:sz="4" w:space="0"/>
            </w:tcBorders>
            <w:noWrap/>
            <w:vAlign w:val="center"/>
          </w:tcPr>
          <w:p w14:paraId="071128F8">
            <w:pPr>
              <w:pStyle w:val="28"/>
            </w:pPr>
            <w:r>
              <w:t>TI</w:t>
            </w:r>
          </w:p>
        </w:tc>
        <w:tc>
          <w:tcPr>
            <w:tcW w:w="1759" w:type="pct"/>
            <w:tcBorders>
              <w:top w:val="single" w:color="auto" w:sz="4" w:space="0"/>
              <w:left w:val="nil"/>
              <w:bottom w:val="single" w:color="auto" w:sz="4" w:space="0"/>
              <w:right w:val="single" w:color="auto" w:sz="4" w:space="0"/>
            </w:tcBorders>
            <w:noWrap/>
            <w:vAlign w:val="center"/>
          </w:tcPr>
          <w:p w14:paraId="385D67E5">
            <w:pPr>
              <w:pStyle w:val="28"/>
            </w:pPr>
            <w:r>
              <w:t>TMS320F</w:t>
            </w:r>
            <w:r>
              <w:rPr>
                <w:rFonts w:hint="eastAsia"/>
              </w:rPr>
              <w:t>系列</w:t>
            </w:r>
          </w:p>
        </w:tc>
        <w:tc>
          <w:tcPr>
            <w:tcW w:w="612" w:type="pct"/>
            <w:tcBorders>
              <w:top w:val="single" w:color="auto" w:sz="4" w:space="0"/>
              <w:left w:val="single" w:color="auto" w:sz="4" w:space="0"/>
              <w:bottom w:val="single" w:color="auto" w:sz="4" w:space="0"/>
              <w:right w:val="single" w:color="auto" w:sz="4" w:space="0"/>
            </w:tcBorders>
            <w:noWrap/>
            <w:vAlign w:val="center"/>
          </w:tcPr>
          <w:p w14:paraId="72677FB3">
            <w:pPr>
              <w:pStyle w:val="28"/>
            </w:pPr>
            <w:r>
              <w:t>2</w:t>
            </w:r>
            <w:r>
              <w:rPr>
                <w:rFonts w:hint="eastAsia"/>
              </w:rPr>
              <w:t>只</w:t>
            </w:r>
          </w:p>
        </w:tc>
        <w:tc>
          <w:tcPr>
            <w:tcW w:w="459" w:type="pct"/>
            <w:tcBorders>
              <w:top w:val="single" w:color="auto" w:sz="4" w:space="0"/>
              <w:left w:val="single" w:color="auto" w:sz="4" w:space="0"/>
              <w:bottom w:val="single" w:color="auto" w:sz="4" w:space="0"/>
              <w:right w:val="single" w:color="auto" w:sz="4" w:space="0"/>
            </w:tcBorders>
            <w:noWrap/>
            <w:vAlign w:val="center"/>
          </w:tcPr>
          <w:p w14:paraId="079AE91F">
            <w:pPr>
              <w:pStyle w:val="28"/>
            </w:pPr>
            <w:r>
              <w:t>/</w:t>
            </w:r>
          </w:p>
        </w:tc>
      </w:tr>
    </w:tbl>
    <w:p w14:paraId="794B3840">
      <w:pPr>
        <w:pStyle w:val="23"/>
        <w:numPr>
          <w:ilvl w:val="0"/>
          <w:numId w:val="5"/>
        </w:numPr>
      </w:pPr>
      <w:bookmarkStart w:id="53" w:name="_Toc25113"/>
      <w:r>
        <w:rPr>
          <w:rFonts w:hint="eastAsia"/>
        </w:rPr>
        <w:t>包装和运输</w:t>
      </w:r>
      <w:bookmarkEnd w:id="53"/>
    </w:p>
    <w:p w14:paraId="55B9DD65">
      <w:pPr>
        <w:pStyle w:val="24"/>
        <w:numPr>
          <w:ilvl w:val="4"/>
          <w:numId w:val="5"/>
        </w:numPr>
        <w:ind w:firstLine="480" w:firstLineChars="200"/>
      </w:pPr>
      <w:r>
        <w:rPr>
          <w:rFonts w:hint="eastAsia"/>
        </w:rPr>
        <w:t>卖方交付的所有货物要符合国家主管机关的规定，具有适合长途运输和装卸的坚固包装。包装应保证在运输、装卸过程中完好无损，并有减振、防冲击及防磨损措施。</w:t>
      </w:r>
    </w:p>
    <w:p w14:paraId="566F4621">
      <w:pPr>
        <w:pStyle w:val="24"/>
        <w:numPr>
          <w:ilvl w:val="4"/>
          <w:numId w:val="5"/>
        </w:numPr>
        <w:ind w:firstLine="480" w:firstLineChars="200"/>
      </w:pPr>
      <w:r>
        <w:rPr>
          <w:rFonts w:hint="eastAsia"/>
        </w:rPr>
        <w:t>对裸装货物应在金属标签上注明上述有关内容。并要带有足够的货物支架或包装垫木。</w:t>
      </w:r>
    </w:p>
    <w:p w14:paraId="5432DBC8">
      <w:pPr>
        <w:pStyle w:val="24"/>
        <w:numPr>
          <w:ilvl w:val="4"/>
          <w:numId w:val="5"/>
        </w:numPr>
        <w:ind w:firstLine="480" w:firstLineChars="200"/>
      </w:pPr>
      <w:r>
        <w:rPr>
          <w:rFonts w:hint="eastAsia"/>
        </w:rPr>
        <w:t>每件包装箱内，应附有包括：名称、数量的详细装箱单、合格证。包装箱内应有产品出厂质量合格证明书、用户手册各一份。</w:t>
      </w:r>
    </w:p>
    <w:p w14:paraId="3E2658E1">
      <w:pPr>
        <w:pStyle w:val="24"/>
        <w:numPr>
          <w:ilvl w:val="4"/>
          <w:numId w:val="5"/>
        </w:numPr>
        <w:ind w:firstLine="480" w:firstLineChars="200"/>
      </w:pPr>
      <w:r>
        <w:rPr>
          <w:rFonts w:hint="eastAsia"/>
        </w:rPr>
        <w:t>各设备的松散零星部件应采用良好包装方式，装入尺寸适当的箱内，随整车发送。</w:t>
      </w:r>
    </w:p>
    <w:p w14:paraId="602C85AE">
      <w:pPr>
        <w:pStyle w:val="23"/>
        <w:pageBreakBefore/>
        <w:numPr>
          <w:ilvl w:val="0"/>
          <w:numId w:val="5"/>
        </w:numPr>
      </w:pPr>
      <w:bookmarkStart w:id="54" w:name="_Toc29102"/>
      <w:r>
        <w:rPr>
          <w:rFonts w:hint="eastAsia"/>
        </w:rPr>
        <w:t>技术资料</w:t>
      </w:r>
      <w:bookmarkEnd w:id="54"/>
    </w:p>
    <w:p w14:paraId="27114B2A">
      <w:pPr>
        <w:pStyle w:val="24"/>
        <w:numPr>
          <w:ilvl w:val="4"/>
          <w:numId w:val="5"/>
        </w:numPr>
        <w:ind w:firstLine="480" w:firstLineChars="200"/>
      </w:pPr>
      <w:r>
        <w:rPr>
          <w:rFonts w:hint="eastAsia"/>
        </w:rPr>
        <w:t>卖方提供的资料应使用国家法定单位制即国际单位制，语言为中文。</w:t>
      </w:r>
    </w:p>
    <w:p w14:paraId="5D7D53C3">
      <w:pPr>
        <w:pStyle w:val="24"/>
        <w:numPr>
          <w:ilvl w:val="4"/>
          <w:numId w:val="5"/>
        </w:numPr>
        <w:ind w:firstLine="480" w:firstLineChars="200"/>
      </w:pPr>
      <w:r>
        <w:rPr>
          <w:rFonts w:hint="eastAsia"/>
        </w:rPr>
        <w:t>资料的组织结构清晰、逻辑性强。资料内容要正确、准确、一致、清晰、完整，满足工程要求。</w:t>
      </w:r>
    </w:p>
    <w:p w14:paraId="2C0340F3">
      <w:pPr>
        <w:pStyle w:val="24"/>
        <w:numPr>
          <w:ilvl w:val="4"/>
          <w:numId w:val="5"/>
        </w:numPr>
        <w:ind w:firstLine="480" w:firstLineChars="200"/>
      </w:pPr>
      <w:r>
        <w:rPr>
          <w:rFonts w:hint="eastAsia"/>
        </w:rPr>
        <w:t>卖方应向买方提供一般性资料，如设备的第三方测试报告等。</w:t>
      </w:r>
    </w:p>
    <w:p w14:paraId="13DF6D57">
      <w:pPr>
        <w:pStyle w:val="24"/>
        <w:numPr>
          <w:ilvl w:val="4"/>
          <w:numId w:val="5"/>
        </w:numPr>
        <w:ind w:firstLine="480" w:firstLineChars="200"/>
      </w:pPr>
      <w:r>
        <w:rPr>
          <w:rFonts w:hint="eastAsia"/>
        </w:rPr>
        <w:t>卖方应买方提供以下随货资料：</w:t>
      </w:r>
    </w:p>
    <w:p w14:paraId="7D726BE2">
      <w:pPr>
        <w:pStyle w:val="36"/>
        <w:numPr>
          <w:ilvl w:val="5"/>
          <w:numId w:val="5"/>
        </w:numPr>
        <w:ind w:left="420" w:leftChars="200" w:firstLine="480" w:firstLineChars="200"/>
      </w:pPr>
      <w:r>
        <w:rPr>
          <w:rFonts w:hint="eastAsia"/>
        </w:rPr>
        <w:t>包装清单</w:t>
      </w:r>
    </w:p>
    <w:p w14:paraId="29A1AFAB">
      <w:pPr>
        <w:pStyle w:val="36"/>
        <w:numPr>
          <w:ilvl w:val="5"/>
          <w:numId w:val="5"/>
        </w:numPr>
        <w:ind w:left="420" w:leftChars="200" w:firstLine="480" w:firstLineChars="200"/>
      </w:pPr>
      <w:r>
        <w:rPr>
          <w:rFonts w:hint="eastAsia"/>
        </w:rPr>
        <w:t>产品出厂合格证明书</w:t>
      </w:r>
    </w:p>
    <w:p w14:paraId="3ADD029F">
      <w:pPr>
        <w:pStyle w:val="36"/>
        <w:numPr>
          <w:ilvl w:val="5"/>
          <w:numId w:val="5"/>
        </w:numPr>
        <w:ind w:left="420" w:leftChars="200" w:firstLine="480" w:firstLineChars="200"/>
      </w:pPr>
      <w:r>
        <w:rPr>
          <w:rFonts w:hint="eastAsia"/>
        </w:rPr>
        <w:t>手册、电气原理图等技术资料</w:t>
      </w:r>
    </w:p>
    <w:p w14:paraId="4BBA5CE3">
      <w:pPr>
        <w:pStyle w:val="25"/>
        <w:ind w:firstLine="480"/>
      </w:pPr>
      <w:r>
        <w:rPr>
          <w:rFonts w:hint="eastAsia"/>
        </w:rPr>
        <w:t>以上技术资料除提供纸质版外，还需提供电子版资料一份。</w:t>
      </w:r>
    </w:p>
    <w:p w14:paraId="478A431C">
      <w:pPr>
        <w:pStyle w:val="23"/>
        <w:numPr>
          <w:ilvl w:val="0"/>
          <w:numId w:val="5"/>
        </w:numPr>
      </w:pPr>
      <w:bookmarkStart w:id="55" w:name="_Toc2304"/>
      <w:r>
        <w:rPr>
          <w:rFonts w:hint="eastAsia"/>
        </w:rPr>
        <w:t>安装和调试</w:t>
      </w:r>
      <w:bookmarkEnd w:id="55"/>
    </w:p>
    <w:p w14:paraId="1E3D706D">
      <w:pPr>
        <w:pStyle w:val="24"/>
        <w:numPr>
          <w:ilvl w:val="4"/>
          <w:numId w:val="5"/>
        </w:numPr>
        <w:ind w:firstLine="480" w:firstLineChars="200"/>
      </w:pPr>
      <w:r>
        <w:rPr>
          <w:rFonts w:hint="eastAsia"/>
        </w:rPr>
        <w:t>本合同设备由买方根据卖方提供的技术资料、图纸及说明书进行安装、调试、运行和维护。整个安装、调试过程须在卖方技术服务人员指导下进行。安装、调试过程中，若买方未按卖方的技术资料规定和现场技术人员指导、未经卖方技术服务人员确认而出现问题，买方自行负责（设备问题除外）；若买方按卖方技术资料规定和技术服务人员的指导、卖方技术服务人员签字确认而出现问题，卖方承担责任。</w:t>
      </w:r>
    </w:p>
    <w:p w14:paraId="360EC49D">
      <w:pPr>
        <w:pStyle w:val="24"/>
        <w:numPr>
          <w:ilvl w:val="4"/>
          <w:numId w:val="5"/>
        </w:numPr>
        <w:ind w:firstLine="480" w:firstLineChars="200"/>
      </w:pPr>
      <w:r>
        <w:rPr>
          <w:rFonts w:hint="eastAsia"/>
        </w:rPr>
        <w:t>合同设备安装完毕后，卖方应派人参加调试、试运指导，并应尽快解决调试中的问题。</w:t>
      </w:r>
    </w:p>
    <w:p w14:paraId="6F998BA8">
      <w:pPr>
        <w:pStyle w:val="23"/>
        <w:numPr>
          <w:ilvl w:val="0"/>
          <w:numId w:val="5"/>
        </w:numPr>
      </w:pPr>
      <w:bookmarkStart w:id="56" w:name="_Toc32585"/>
      <w:r>
        <w:rPr>
          <w:rFonts w:hint="eastAsia"/>
        </w:rPr>
        <w:t>售后服务</w:t>
      </w:r>
      <w:bookmarkEnd w:id="56"/>
    </w:p>
    <w:p w14:paraId="708F96F4">
      <w:pPr>
        <w:pStyle w:val="24"/>
        <w:numPr>
          <w:ilvl w:val="4"/>
          <w:numId w:val="5"/>
        </w:numPr>
        <w:ind w:firstLine="480" w:firstLineChars="200"/>
      </w:pPr>
      <w:r>
        <w:rPr>
          <w:rFonts w:hint="eastAsia"/>
        </w:rPr>
        <w:t>售后质保期以商务合同约定的期限为准。</w:t>
      </w:r>
    </w:p>
    <w:p w14:paraId="302C7179">
      <w:pPr>
        <w:pStyle w:val="24"/>
        <w:numPr>
          <w:ilvl w:val="4"/>
          <w:numId w:val="5"/>
        </w:numPr>
        <w:ind w:firstLine="480" w:firstLineChars="200"/>
      </w:pPr>
      <w:r>
        <w:rPr>
          <w:rFonts w:hint="eastAsia"/>
        </w:rPr>
        <w:t>售后质保期内，若设备在运行中发生故障，可联系卖方进行处理。</w:t>
      </w:r>
    </w:p>
    <w:p w14:paraId="11FCF0FE">
      <w:pPr>
        <w:pStyle w:val="2"/>
        <w:numPr>
          <w:ilvl w:val="0"/>
          <w:numId w:val="0"/>
        </w:numPr>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9"/>
      <w:bookmarkEnd w:id="10"/>
      <w:bookmarkEnd w:id="11"/>
      <w:bookmarkEnd w:id="12"/>
      <w:bookmarkEnd w:id="13"/>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14"/>
    <w:bookmarkEnd w:id="15"/>
    <w:bookmarkEnd w:id="16"/>
    <w:bookmarkEnd w:id="17"/>
    <w:bookmarkEnd w:id="18"/>
    <w:bookmarkEnd w:id="19"/>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w:t>
      </w:r>
      <w:r>
        <w:rPr>
          <w:rFonts w:hint="eastAsia" w:ascii="宋体" w:hAnsi="宋体" w:eastAsia="宋体" w:cs="宋体"/>
          <w:b/>
          <w:bCs/>
          <w:sz w:val="40"/>
          <w:szCs w:val="40"/>
          <w:u w:val="none"/>
          <w:lang w:val="en-US" w:eastAsia="zh-CN"/>
        </w:rPr>
        <w:t>50MW光伏项目320KW</w:t>
      </w:r>
      <w:r>
        <w:rPr>
          <w:rFonts w:hint="eastAsia" w:ascii="宋体" w:hAnsi="宋体" w:eastAsia="宋体" w:cs="宋体"/>
          <w:b/>
          <w:bCs/>
          <w:sz w:val="40"/>
          <w:szCs w:val="40"/>
          <w:u w:val="none"/>
        </w:rPr>
        <w:t>组串式逆变器</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7"/>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7"/>
        <w:rPr>
          <w:rFonts w:hint="eastAsia" w:hAnsi="宋体" w:cs="宋体"/>
          <w:b/>
          <w:bCs/>
          <w:color w:val="auto"/>
          <w:sz w:val="32"/>
          <w:szCs w:val="32"/>
          <w:highlight w:val="none"/>
          <w:lang w:val="en-US" w:eastAsia="zh-CN"/>
        </w:rPr>
      </w:pPr>
    </w:p>
    <w:p w14:paraId="2301E828">
      <w:pPr>
        <w:pStyle w:val="17"/>
        <w:rPr>
          <w:rFonts w:hint="eastAsia" w:ascii="宋体" w:hAnsi="宋体" w:eastAsia="宋体" w:cs="宋体"/>
          <w:b/>
          <w:bCs/>
          <w:color w:val="auto"/>
          <w:sz w:val="32"/>
          <w:szCs w:val="32"/>
          <w:highlight w:val="none"/>
        </w:rPr>
      </w:pPr>
    </w:p>
    <w:p w14:paraId="1FFC3A75">
      <w:pPr>
        <w:pStyle w:val="17"/>
        <w:rPr>
          <w:rFonts w:hint="eastAsia" w:ascii="宋体" w:hAnsi="宋体" w:eastAsia="宋体" w:cs="宋体"/>
          <w:b/>
          <w:bCs/>
          <w:color w:val="auto"/>
          <w:sz w:val="32"/>
          <w:szCs w:val="32"/>
          <w:highlight w:val="none"/>
        </w:rPr>
      </w:pPr>
    </w:p>
    <w:p w14:paraId="19CD3ED6">
      <w:pPr>
        <w:pStyle w:val="17"/>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7BA188E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1" w:type="first"/>
          <w:headerReference r:id="rId7" w:type="default"/>
          <w:footerReference r:id="rId9" w:type="default"/>
          <w:headerReference r:id="rId8" w:type="even"/>
          <w:footerReference r:id="rId10" w:type="even"/>
          <w:pgSz w:w="11906" w:h="16838"/>
          <w:pgMar w:top="1418" w:right="991" w:bottom="1304" w:left="1418" w:header="851" w:footer="737" w:gutter="0"/>
          <w:pgNumType w:fmt="decimal"/>
          <w:cols w:space="720" w:num="1"/>
          <w:docGrid w:type="lines" w:linePitch="312" w:charSpace="0"/>
        </w:sectPr>
      </w:pPr>
    </w:p>
    <w:p w14:paraId="1FBB81FF">
      <w:pPr>
        <w:pStyle w:val="3"/>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18"/>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eastAsia="宋体" w:cs="宋体"/>
          <w:b w:val="0"/>
          <w:bCs w:val="0"/>
          <w:sz w:val="24"/>
          <w:szCs w:val="24"/>
          <w:u w:val="single"/>
          <w:lang w:val="en-US" w:eastAsia="zh-CN"/>
        </w:rPr>
        <w:t>50MW光伏项目320KW</w:t>
      </w:r>
      <w:r>
        <w:rPr>
          <w:rFonts w:hint="eastAsia" w:ascii="宋体" w:hAnsi="宋体" w:eastAsia="宋体" w:cs="宋体"/>
          <w:b w:val="0"/>
          <w:bCs w:val="0"/>
          <w:sz w:val="24"/>
          <w:szCs w:val="24"/>
          <w:u w:val="single"/>
        </w:rPr>
        <w:t>组串式逆变器</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5526426B">
      <w:pPr>
        <w:pStyle w:val="6"/>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18"/>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4F63A273">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pgNumType w:fmt="decimal"/>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3"/>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1"/>
        <w:tblW w:w="5796" w:type="pct"/>
        <w:tblInd w:w="-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417"/>
        <w:gridCol w:w="1530"/>
        <w:gridCol w:w="647"/>
        <w:gridCol w:w="676"/>
        <w:gridCol w:w="1480"/>
        <w:gridCol w:w="1490"/>
        <w:gridCol w:w="1000"/>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组串式逆变器</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Arial" w:hAnsi="Arial" w:eastAsia="宋体" w:cs="Arial"/>
                <w:i w:val="0"/>
                <w:iCs w:val="0"/>
                <w:color w:val="000000"/>
                <w:kern w:val="0"/>
                <w:sz w:val="21"/>
                <w:szCs w:val="21"/>
                <w:u w:val="none"/>
                <w:lang w:val="en-US" w:eastAsia="zh-CN" w:bidi="ar"/>
              </w:rPr>
              <w:t>SG320HX-20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4"/>
                <w:szCs w:val="24"/>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default" w:ascii="Arial" w:hAnsi="Arial" w:eastAsia="宋体" w:cs="Arial"/>
                <w:i w:val="0"/>
                <w:iCs w:val="0"/>
                <w:color w:val="000000"/>
                <w:kern w:val="0"/>
                <w:sz w:val="21"/>
                <w:szCs w:val="21"/>
                <w:u w:val="none"/>
                <w:lang w:val="en-US" w:eastAsia="zh-CN" w:bidi="ar"/>
              </w:rPr>
              <w:t>149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4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C0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321">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组串式逆变器</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A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1"/>
                <w:szCs w:val="21"/>
                <w:u w:val="none"/>
                <w:lang w:val="en-US" w:eastAsia="zh-CN" w:bidi="ar"/>
              </w:rPr>
              <w:t>SG320HX-20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706">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7F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Arial" w:hAnsi="Arial" w:eastAsia="宋体" w:cs="Arial"/>
                <w:i w:val="0"/>
                <w:iCs w:val="0"/>
                <w:color w:val="000000"/>
                <w:kern w:val="0"/>
                <w:sz w:val="21"/>
                <w:szCs w:val="21"/>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038B">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78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6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B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67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8FF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通讯箱（能量管理单元）</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1"/>
                <w:szCs w:val="21"/>
                <w:u w:val="none"/>
                <w:lang w:val="en-US" w:eastAsia="zh-CN" w:bidi="ar"/>
              </w:rPr>
              <w:t>EMU200A</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18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955">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Arial" w:hAnsi="Arial" w:eastAsia="宋体" w:cs="Arial"/>
                <w:i w:val="0"/>
                <w:iCs w:val="0"/>
                <w:color w:val="000000"/>
                <w:kern w:val="0"/>
                <w:sz w:val="21"/>
                <w:szCs w:val="21"/>
                <w:u w:val="none"/>
                <w:lang w:val="en-US" w:eastAsia="zh-CN" w:bidi="ar"/>
              </w:rPr>
              <w:t>17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27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93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2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42E043C">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（3）施工期间，价格不因物价波动而调整。</w:t>
      </w:r>
    </w:p>
    <w:p w14:paraId="7B673159">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57" w:name="_Toc6126_WPSOffice_Level2"/>
      <w:bookmarkStart w:id="58" w:name="_Toc15750_WPSOffice_Level2"/>
      <w:bookmarkStart w:id="59" w:name="_Toc3328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57"/>
      <w:bookmarkEnd w:id="58"/>
      <w:bookmarkEnd w:id="59"/>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60" w:name="_Toc9382"/>
      <w:bookmarkStart w:id="61" w:name="_Toc9260"/>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60"/>
      <w:bookmarkEnd w:id="61"/>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7"/>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7"/>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7"/>
      <w:jc w:val="center"/>
    </w:pPr>
    <w:r>
      <w:fldChar w:fldCharType="begin"/>
    </w:r>
    <w:r>
      <w:rPr>
        <w:rStyle w:val="14"/>
      </w:rPr>
      <w:instrText xml:space="preserve"> PAGE </w:instrText>
    </w:r>
    <w:r>
      <w:fldChar w:fldCharType="separate"/>
    </w:r>
    <w:r>
      <w:rPr>
        <w:rStyle w:val="14"/>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E5A1">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0E5A1">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8"/>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8"/>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294D34C4"/>
    <w:multiLevelType w:val="multilevel"/>
    <w:tmpl w:val="294D34C4"/>
    <w:lvl w:ilvl="0" w:tentative="0">
      <w:start w:val="1"/>
      <w:numFmt w:val="chineseCountingThousand"/>
      <w:pStyle w:val="2"/>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3"/>
      <w:lvlText w:val="第%2章"/>
      <w:lvlJc w:val="left"/>
      <w:pPr>
        <w:ind w:left="420"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2">
    <w:nsid w:val="464754BA"/>
    <w:multiLevelType w:val="multilevel"/>
    <w:tmpl w:val="464754BA"/>
    <w:lvl w:ilvl="0" w:tentative="0">
      <w:start w:val="1"/>
      <w:numFmt w:val="decimal"/>
      <w:pStyle w:val="23"/>
      <w:suff w:val="space"/>
      <w:lvlText w:val="%1 "/>
      <w:lvlJc w:val="left"/>
      <w:pPr>
        <w:ind w:left="0" w:firstLine="0"/>
      </w:pPr>
      <w:rPr>
        <w:rFonts w:hint="default" w:ascii="Arial" w:hAnsi="Arial" w:eastAsia="宋体"/>
        <w:b/>
        <w:i w:val="0"/>
        <w:color w:val="auto"/>
        <w:sz w:val="32"/>
      </w:rPr>
    </w:lvl>
    <w:lvl w:ilvl="1" w:tentative="0">
      <w:start w:val="1"/>
      <w:numFmt w:val="decimal"/>
      <w:pStyle w:val="29"/>
      <w:suff w:val="space"/>
      <w:lvlText w:val="%1.%2 "/>
      <w:lvlJc w:val="left"/>
      <w:pPr>
        <w:ind w:left="0" w:firstLine="0"/>
      </w:pPr>
      <w:rPr>
        <w:rFonts w:hint="default" w:ascii="Arial" w:hAnsi="Arial" w:eastAsia="宋体"/>
        <w:b/>
        <w:i w:val="0"/>
        <w:color w:val="auto"/>
        <w:sz w:val="30"/>
      </w:rPr>
    </w:lvl>
    <w:lvl w:ilvl="2" w:tentative="0">
      <w:start w:val="1"/>
      <w:numFmt w:val="decimal"/>
      <w:pStyle w:val="37"/>
      <w:suff w:val="space"/>
      <w:lvlText w:val="%1.%2.%3 "/>
      <w:lvlJc w:val="left"/>
      <w:pPr>
        <w:ind w:left="1277" w:firstLine="0"/>
      </w:pPr>
      <w:rPr>
        <w:rFonts w:hint="default" w:ascii="Arial" w:hAnsi="Arial" w:eastAsia="宋体"/>
        <w:b/>
        <w:i w:val="0"/>
        <w:color w:val="auto"/>
        <w:sz w:val="28"/>
      </w:rPr>
    </w:lvl>
    <w:lvl w:ilvl="3" w:tentative="0">
      <w:start w:val="1"/>
      <w:numFmt w:val="decimal"/>
      <w:suff w:val="space"/>
      <w:lvlText w:val="%1.%2.%3.%4 "/>
      <w:lvlJc w:val="left"/>
      <w:pPr>
        <w:ind w:left="0" w:firstLine="0"/>
      </w:pPr>
      <w:rPr>
        <w:rFonts w:hint="default" w:ascii="Arial" w:hAnsi="Arial" w:eastAsia="宋体"/>
        <w:b/>
        <w:i w:val="0"/>
        <w:color w:val="auto"/>
        <w:sz w:val="24"/>
      </w:rPr>
    </w:lvl>
    <w:lvl w:ilvl="4" w:tentative="0">
      <w:start w:val="1"/>
      <w:numFmt w:val="decimal"/>
      <w:pStyle w:val="24"/>
      <w:suff w:val="space"/>
      <w:lvlText w:val="(%5)"/>
      <w:lvlJc w:val="left"/>
      <w:pPr>
        <w:ind w:left="0" w:firstLine="0"/>
      </w:pPr>
      <w:rPr>
        <w:rFonts w:hint="default" w:ascii="Arial" w:hAnsi="Arial" w:eastAsia="宋体"/>
        <w:b w:val="0"/>
        <w:i w:val="0"/>
        <w:color w:val="auto"/>
        <w:spacing w:val="20"/>
        <w:w w:val="100"/>
        <w:sz w:val="24"/>
      </w:rPr>
    </w:lvl>
    <w:lvl w:ilvl="5" w:tentative="0">
      <w:start w:val="1"/>
      <w:numFmt w:val="bullet"/>
      <w:pStyle w:val="36"/>
      <w:suff w:val="space"/>
      <w:lvlText w:val=""/>
      <w:lvlJc w:val="left"/>
      <w:pPr>
        <w:ind w:left="0" w:firstLine="0"/>
      </w:pPr>
      <w:rPr>
        <w:rFonts w:hint="default" w:ascii="Wingdings" w:hAnsi="Wingdings"/>
        <w:b w:val="0"/>
        <w:i w:val="0"/>
        <w:color w:val="auto"/>
        <w:spacing w:val="40"/>
        <w:w w:val="100"/>
        <w:sz w:val="15"/>
      </w:rPr>
    </w:lvl>
    <w:lvl w:ilvl="6" w:tentative="0">
      <w:start w:val="1"/>
      <w:numFmt w:val="lowerLetter"/>
      <w:suff w:val="space"/>
      <w:lvlText w:val="%7)"/>
      <w:lvlJc w:val="left"/>
      <w:pPr>
        <w:ind w:left="0" w:firstLine="0"/>
      </w:pPr>
      <w:rPr>
        <w:rFonts w:hint="default" w:ascii="Arial" w:hAnsi="Arial" w:eastAsia="宋体"/>
        <w:b w:val="0"/>
        <w:i w:val="0"/>
        <w:color w:val="auto"/>
        <w:sz w:val="24"/>
      </w:rPr>
    </w:lvl>
    <w:lvl w:ilvl="7" w:tentative="0">
      <w:start w:val="1"/>
      <w:numFmt w:val="decimal"/>
      <w:lvlRestart w:val="0"/>
      <w:pStyle w:val="35"/>
      <w:suff w:val="space"/>
      <w:lvlText w:val="图 %8 "/>
      <w:lvlJc w:val="center"/>
      <w:pPr>
        <w:ind w:left="0" w:firstLine="0"/>
      </w:pPr>
      <w:rPr>
        <w:rFonts w:hint="default" w:ascii="Arial" w:hAnsi="Arial" w:eastAsia="宋体"/>
        <w:b/>
        <w:i w:val="0"/>
        <w:sz w:val="21"/>
      </w:rPr>
    </w:lvl>
    <w:lvl w:ilvl="8" w:tentative="0">
      <w:start w:val="1"/>
      <w:numFmt w:val="decimal"/>
      <w:lvlRestart w:val="0"/>
      <w:pStyle w:val="26"/>
      <w:suff w:val="space"/>
      <w:lvlText w:val="表 %9 "/>
      <w:lvlJc w:val="center"/>
      <w:pPr>
        <w:ind w:left="0" w:firstLine="0"/>
      </w:pPr>
      <w:rPr>
        <w:rFonts w:hint="default" w:ascii="Arial" w:hAnsi="Arial" w:eastAsia="宋体"/>
        <w:b/>
        <w:i w:val="0"/>
        <w:sz w:val="21"/>
        <w:lang w:val="en-US"/>
      </w:rPr>
    </w:lvl>
  </w:abstractNum>
  <w:abstractNum w:abstractNumId="3">
    <w:nsid w:val="4CDBEB20"/>
    <w:multiLevelType w:val="singleLevel"/>
    <w:tmpl w:val="4CDBEB20"/>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193C00"/>
    <w:rsid w:val="03916F6C"/>
    <w:rsid w:val="04253313"/>
    <w:rsid w:val="05CF213D"/>
    <w:rsid w:val="062063B3"/>
    <w:rsid w:val="078774B5"/>
    <w:rsid w:val="082D256A"/>
    <w:rsid w:val="084C279D"/>
    <w:rsid w:val="09060B0B"/>
    <w:rsid w:val="0A214229"/>
    <w:rsid w:val="0AE22B82"/>
    <w:rsid w:val="0BC11400"/>
    <w:rsid w:val="0D1F3B45"/>
    <w:rsid w:val="0DDD575A"/>
    <w:rsid w:val="0F3D0D81"/>
    <w:rsid w:val="0F9A165D"/>
    <w:rsid w:val="112226B1"/>
    <w:rsid w:val="115674EB"/>
    <w:rsid w:val="12135469"/>
    <w:rsid w:val="12A702B4"/>
    <w:rsid w:val="12E36CA0"/>
    <w:rsid w:val="1399594D"/>
    <w:rsid w:val="143376FC"/>
    <w:rsid w:val="15206266"/>
    <w:rsid w:val="15990F61"/>
    <w:rsid w:val="169A3A63"/>
    <w:rsid w:val="1772535D"/>
    <w:rsid w:val="177607DB"/>
    <w:rsid w:val="179B495E"/>
    <w:rsid w:val="198A6ADB"/>
    <w:rsid w:val="199B6790"/>
    <w:rsid w:val="19AC242B"/>
    <w:rsid w:val="1B141CFF"/>
    <w:rsid w:val="1BF00D78"/>
    <w:rsid w:val="1C086A7B"/>
    <w:rsid w:val="1C7D00AF"/>
    <w:rsid w:val="1CF63287"/>
    <w:rsid w:val="1DA653E3"/>
    <w:rsid w:val="1EC845BE"/>
    <w:rsid w:val="1F0B50A7"/>
    <w:rsid w:val="1F0C57EE"/>
    <w:rsid w:val="1F655A21"/>
    <w:rsid w:val="20024341"/>
    <w:rsid w:val="229F1850"/>
    <w:rsid w:val="23690370"/>
    <w:rsid w:val="23D27D04"/>
    <w:rsid w:val="2678382B"/>
    <w:rsid w:val="268D1DEC"/>
    <w:rsid w:val="269B7AAF"/>
    <w:rsid w:val="26A51A6C"/>
    <w:rsid w:val="26A80DE0"/>
    <w:rsid w:val="26BA04C7"/>
    <w:rsid w:val="277F74CF"/>
    <w:rsid w:val="279F352E"/>
    <w:rsid w:val="27C8417C"/>
    <w:rsid w:val="29B80978"/>
    <w:rsid w:val="2A271974"/>
    <w:rsid w:val="2B052BA6"/>
    <w:rsid w:val="2B1B525F"/>
    <w:rsid w:val="2B67772B"/>
    <w:rsid w:val="2B9354BE"/>
    <w:rsid w:val="2C34652A"/>
    <w:rsid w:val="2CA607CC"/>
    <w:rsid w:val="2D2D1B82"/>
    <w:rsid w:val="2D9514CC"/>
    <w:rsid w:val="2E204D3E"/>
    <w:rsid w:val="2EAC14DA"/>
    <w:rsid w:val="2ED2163D"/>
    <w:rsid w:val="30332DD2"/>
    <w:rsid w:val="30D85774"/>
    <w:rsid w:val="31A96B20"/>
    <w:rsid w:val="320A3941"/>
    <w:rsid w:val="34363D54"/>
    <w:rsid w:val="354C5C15"/>
    <w:rsid w:val="368E4F3A"/>
    <w:rsid w:val="374223EF"/>
    <w:rsid w:val="37836779"/>
    <w:rsid w:val="37915DB0"/>
    <w:rsid w:val="38583252"/>
    <w:rsid w:val="387865A5"/>
    <w:rsid w:val="3A042590"/>
    <w:rsid w:val="3B7F74D9"/>
    <w:rsid w:val="3C1300E4"/>
    <w:rsid w:val="3D1024B8"/>
    <w:rsid w:val="3D4564DA"/>
    <w:rsid w:val="3E586C14"/>
    <w:rsid w:val="4089175E"/>
    <w:rsid w:val="41370777"/>
    <w:rsid w:val="417860EB"/>
    <w:rsid w:val="42405918"/>
    <w:rsid w:val="430020BB"/>
    <w:rsid w:val="44AB1E74"/>
    <w:rsid w:val="44FB62F2"/>
    <w:rsid w:val="46DA42D1"/>
    <w:rsid w:val="47174AD8"/>
    <w:rsid w:val="47A40BEB"/>
    <w:rsid w:val="47C473CB"/>
    <w:rsid w:val="485C33AF"/>
    <w:rsid w:val="485F7DEC"/>
    <w:rsid w:val="49065433"/>
    <w:rsid w:val="4AB540FE"/>
    <w:rsid w:val="4C2A24B6"/>
    <w:rsid w:val="4D670E74"/>
    <w:rsid w:val="4EAF1A9A"/>
    <w:rsid w:val="4FD813F4"/>
    <w:rsid w:val="503D7853"/>
    <w:rsid w:val="506230F3"/>
    <w:rsid w:val="513B16B5"/>
    <w:rsid w:val="527C6137"/>
    <w:rsid w:val="52B839CF"/>
    <w:rsid w:val="52CD1B0B"/>
    <w:rsid w:val="53AE6D3E"/>
    <w:rsid w:val="54554510"/>
    <w:rsid w:val="54720817"/>
    <w:rsid w:val="553D666E"/>
    <w:rsid w:val="55BD5DBD"/>
    <w:rsid w:val="57ED0C5F"/>
    <w:rsid w:val="5873640C"/>
    <w:rsid w:val="5A78218F"/>
    <w:rsid w:val="5B8524B6"/>
    <w:rsid w:val="5B9E711E"/>
    <w:rsid w:val="5D0D4FF2"/>
    <w:rsid w:val="5D236F0C"/>
    <w:rsid w:val="5D4D7F22"/>
    <w:rsid w:val="5D5C14D4"/>
    <w:rsid w:val="5E040755"/>
    <w:rsid w:val="600F326F"/>
    <w:rsid w:val="60FD5117"/>
    <w:rsid w:val="61437022"/>
    <w:rsid w:val="61AD42AD"/>
    <w:rsid w:val="62654F8F"/>
    <w:rsid w:val="631A0FF0"/>
    <w:rsid w:val="6532437E"/>
    <w:rsid w:val="6640253F"/>
    <w:rsid w:val="669F6208"/>
    <w:rsid w:val="677E0081"/>
    <w:rsid w:val="69025600"/>
    <w:rsid w:val="69D406F1"/>
    <w:rsid w:val="6CEC3E39"/>
    <w:rsid w:val="6CFA0CEE"/>
    <w:rsid w:val="6D0442D2"/>
    <w:rsid w:val="6D42578B"/>
    <w:rsid w:val="6DF40E20"/>
    <w:rsid w:val="6E1B0B21"/>
    <w:rsid w:val="6FE66282"/>
    <w:rsid w:val="700D18A1"/>
    <w:rsid w:val="72176FE3"/>
    <w:rsid w:val="72F22134"/>
    <w:rsid w:val="74643B18"/>
    <w:rsid w:val="75472897"/>
    <w:rsid w:val="75912D70"/>
    <w:rsid w:val="768F0EA0"/>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afterAutospacing="0"/>
    </w:pPr>
  </w:style>
  <w:style w:type="paragraph" w:styleId="5">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0">
    <w:name w:val="Body Text First Indent"/>
    <w:basedOn w:val="4"/>
    <w:autoRedefine/>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cs="Times New Roman"/>
    </w:rPr>
  </w:style>
  <w:style w:type="character" w:styleId="15">
    <w:name w:val="Hyperlink"/>
    <w:qFormat/>
    <w:uiPriority w:val="99"/>
    <w:rPr>
      <w:rFonts w:cs="Times New Roman"/>
      <w:color w:val="0000FF"/>
      <w:u w:val="single"/>
    </w:rPr>
  </w:style>
  <w:style w:type="paragraph" w:customStyle="1" w:styleId="16">
    <w:name w:val="正文 2"/>
    <w:basedOn w:val="1"/>
    <w:qFormat/>
    <w:uiPriority w:val="0"/>
    <w:pPr>
      <w:spacing w:line="360" w:lineRule="auto"/>
      <w:ind w:firstLine="200" w:firstLineChars="200"/>
      <w:jc w:val="left"/>
    </w:pPr>
    <w:rPr>
      <w:rFonts w:ascii="宋体" w:hAnsi="宋体"/>
      <w:sz w:val="24"/>
      <w:szCs w:val="3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 0"/>
    <w:basedOn w:val="16"/>
    <w:qFormat/>
    <w:uiPriority w:val="0"/>
    <w:pPr>
      <w:ind w:firstLine="0" w:firstLineChars="0"/>
    </w:pPr>
  </w:style>
  <w:style w:type="paragraph" w:customStyle="1" w:styleId="19">
    <w:name w:val="标书6-正文 Char"/>
    <w:basedOn w:val="1"/>
    <w:qFormat/>
    <w:uiPriority w:val="0"/>
    <w:pPr>
      <w:tabs>
        <w:tab w:val="left" w:pos="420"/>
      </w:tabs>
      <w:ind w:firstLine="482" w:firstLineChars="0"/>
    </w:pPr>
    <w:rPr>
      <w:kern w:val="0"/>
      <w:szCs w:val="20"/>
    </w:rPr>
  </w:style>
  <w:style w:type="paragraph" w:customStyle="1" w:styleId="20">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1">
    <w:name w:val="1.1.1.1"/>
    <w:basedOn w:val="1"/>
    <w:qFormat/>
    <w:uiPriority w:val="0"/>
    <w:pPr>
      <w:tabs>
        <w:tab w:val="left" w:pos="1134"/>
      </w:tabs>
      <w:adjustRightInd w:val="0"/>
      <w:spacing w:before="60" w:after="60" w:line="360" w:lineRule="atLeast"/>
      <w:ind w:left="1134" w:hanging="1134" w:firstLineChars="0"/>
      <w:textAlignment w:val="baseline"/>
    </w:pPr>
    <w:rPr>
      <w:rFonts w:ascii="Arial" w:hAnsi="Arial"/>
      <w:kern w:val="0"/>
      <w:szCs w:val="20"/>
    </w:rPr>
  </w:style>
  <w:style w:type="paragraph" w:customStyle="1" w:styleId="22">
    <w:name w:val="正文格式"/>
    <w:basedOn w:val="1"/>
    <w:qFormat/>
    <w:uiPriority w:val="0"/>
    <w:pPr>
      <w:topLinePunct/>
      <w:ind w:firstLine="420"/>
    </w:pPr>
    <w:rPr>
      <w:rFonts w:ascii="宋体" w:hAnsi="宋体"/>
      <w:bCs/>
    </w:rPr>
  </w:style>
  <w:style w:type="paragraph" w:customStyle="1" w:styleId="23">
    <w:name w:val="TI-1.一级标题"/>
    <w:basedOn w:val="1"/>
    <w:qFormat/>
    <w:uiPriority w:val="0"/>
    <w:pPr>
      <w:numPr>
        <w:ilvl w:val="0"/>
        <w:numId w:val="2"/>
      </w:numPr>
      <w:spacing w:before="240" w:beforeLines="0" w:after="120" w:afterLines="0" w:line="360" w:lineRule="auto"/>
      <w:jc w:val="left"/>
      <w:outlineLvl w:val="0"/>
    </w:pPr>
    <w:rPr>
      <w:rFonts w:eastAsia="宋体"/>
      <w:b/>
      <w:bCs/>
      <w:sz w:val="32"/>
    </w:rPr>
  </w:style>
  <w:style w:type="paragraph" w:customStyle="1" w:styleId="24">
    <w:name w:val="TI-5.正文一级序号"/>
    <w:basedOn w:val="25"/>
    <w:qFormat/>
    <w:uiPriority w:val="0"/>
    <w:pPr>
      <w:numPr>
        <w:ilvl w:val="4"/>
        <w:numId w:val="2"/>
      </w:numPr>
      <w:ind w:firstLineChars="0"/>
    </w:pPr>
  </w:style>
  <w:style w:type="paragraph" w:customStyle="1" w:styleId="25">
    <w:name w:val="TI-4.正文"/>
    <w:basedOn w:val="1"/>
    <w:link w:val="32"/>
    <w:qFormat/>
    <w:uiPriority w:val="0"/>
    <w:pPr>
      <w:spacing w:before="0" w:beforeLines="0" w:after="60" w:afterLines="0" w:line="360" w:lineRule="auto"/>
      <w:ind w:firstLine="200" w:firstLineChars="200"/>
    </w:pPr>
    <w:rPr>
      <w:rFonts w:eastAsia="宋体"/>
      <w:sz w:val="24"/>
    </w:rPr>
  </w:style>
  <w:style w:type="paragraph" w:customStyle="1" w:styleId="26">
    <w:name w:val="TI-8.表格标题"/>
    <w:basedOn w:val="1"/>
    <w:qFormat/>
    <w:uiPriority w:val="0"/>
    <w:pPr>
      <w:numPr>
        <w:ilvl w:val="8"/>
        <w:numId w:val="2"/>
      </w:numPr>
      <w:spacing w:before="0" w:beforeLines="0" w:after="0" w:afterLines="0" w:line="360" w:lineRule="auto"/>
      <w:jc w:val="center"/>
    </w:pPr>
    <w:rPr>
      <w:rFonts w:eastAsia="宋体"/>
      <w:b/>
    </w:rPr>
  </w:style>
  <w:style w:type="paragraph" w:customStyle="1" w:styleId="27">
    <w:name w:val="TI-81.表格表头"/>
    <w:basedOn w:val="28"/>
    <w:qFormat/>
    <w:uiPriority w:val="0"/>
    <w:rPr>
      <w:b/>
    </w:rPr>
  </w:style>
  <w:style w:type="paragraph" w:customStyle="1" w:styleId="28">
    <w:name w:val="TI-82.表格文字"/>
    <w:basedOn w:val="1"/>
    <w:qFormat/>
    <w:uiPriority w:val="0"/>
    <w:pPr>
      <w:spacing w:before="0" w:beforeLines="0" w:after="0" w:afterLines="0" w:line="360" w:lineRule="auto"/>
      <w:jc w:val="center"/>
    </w:pPr>
    <w:rPr>
      <w:rFonts w:eastAsia="宋体" w:cs="Arial"/>
      <w:bCs/>
    </w:rPr>
  </w:style>
  <w:style w:type="paragraph" w:customStyle="1" w:styleId="29">
    <w:name w:val="TI-2.二级标题"/>
    <w:basedOn w:val="1"/>
    <w:qFormat/>
    <w:uiPriority w:val="0"/>
    <w:pPr>
      <w:numPr>
        <w:ilvl w:val="1"/>
        <w:numId w:val="2"/>
      </w:numPr>
      <w:spacing w:before="120" w:beforeLines="0" w:after="60" w:afterLines="0" w:line="360" w:lineRule="auto"/>
      <w:jc w:val="left"/>
      <w:outlineLvl w:val="1"/>
    </w:pPr>
    <w:rPr>
      <w:rFonts w:eastAsia="宋体"/>
      <w:b/>
      <w:bCs/>
      <w:sz w:val="30"/>
    </w:rPr>
  </w:style>
  <w:style w:type="paragraph" w:styleId="30">
    <w:name w:val="List Paragraph"/>
    <w:basedOn w:val="1"/>
    <w:qFormat/>
    <w:uiPriority w:val="34"/>
    <w:pPr>
      <w:spacing w:before="0" w:beforeLines="0" w:after="0" w:afterLines="0" w:line="360" w:lineRule="auto"/>
    </w:pPr>
    <w:rPr>
      <w:rFonts w:ascii="宋体" w:hAnsi="宋体" w:eastAsia="宋体" w:cs="Times New Roman"/>
      <w:sz w:val="24"/>
    </w:rPr>
  </w:style>
  <w:style w:type="character" w:customStyle="1" w:styleId="31">
    <w:name w:val="TI-9.公式 字符"/>
    <w:basedOn w:val="32"/>
    <w:link w:val="33"/>
    <w:qFormat/>
    <w:uiPriority w:val="0"/>
  </w:style>
  <w:style w:type="character" w:customStyle="1" w:styleId="32">
    <w:name w:val="TI-4.正文 字符"/>
    <w:basedOn w:val="13"/>
    <w:link w:val="25"/>
    <w:qFormat/>
    <w:uiPriority w:val="0"/>
    <w:rPr>
      <w:rFonts w:eastAsia="宋体"/>
      <w:sz w:val="24"/>
    </w:rPr>
  </w:style>
  <w:style w:type="paragraph" w:customStyle="1" w:styleId="33">
    <w:name w:val="TI-9.公式"/>
    <w:basedOn w:val="25"/>
    <w:link w:val="31"/>
    <w:qFormat/>
    <w:uiPriority w:val="0"/>
    <w:pPr>
      <w:tabs>
        <w:tab w:val="center" w:pos="4515"/>
        <w:tab w:val="right" w:leader="middleDot" w:pos="9030"/>
      </w:tabs>
      <w:ind w:firstLine="0" w:firstLineChars="0"/>
    </w:pPr>
  </w:style>
  <w:style w:type="paragraph" w:customStyle="1" w:styleId="34">
    <w:name w:val="TI-71.图片"/>
    <w:basedOn w:val="1"/>
    <w:qFormat/>
    <w:uiPriority w:val="0"/>
    <w:pPr>
      <w:spacing w:before="0" w:beforeLines="0" w:after="0" w:afterLines="0" w:line="360" w:lineRule="auto"/>
      <w:jc w:val="center"/>
    </w:pPr>
  </w:style>
  <w:style w:type="paragraph" w:customStyle="1" w:styleId="35">
    <w:name w:val="TI-7.图片标题"/>
    <w:basedOn w:val="1"/>
    <w:qFormat/>
    <w:uiPriority w:val="0"/>
    <w:pPr>
      <w:widowControl/>
      <w:numPr>
        <w:ilvl w:val="7"/>
        <w:numId w:val="2"/>
      </w:numPr>
      <w:tabs>
        <w:tab w:val="center" w:pos="4153"/>
        <w:tab w:val="right" w:pos="8306"/>
      </w:tabs>
      <w:topLinePunct/>
      <w:adjustRightInd w:val="0"/>
      <w:spacing w:before="0" w:beforeLines="0" w:after="0" w:afterLines="0" w:line="360" w:lineRule="auto"/>
      <w:jc w:val="center"/>
    </w:pPr>
    <w:rPr>
      <w:rFonts w:eastAsia="宋体" w:cs="Times New Roman"/>
      <w:b/>
      <w:szCs w:val="21"/>
    </w:rPr>
  </w:style>
  <w:style w:type="paragraph" w:customStyle="1" w:styleId="36">
    <w:name w:val="TI-6.正文二级序号"/>
    <w:basedOn w:val="25"/>
    <w:qFormat/>
    <w:uiPriority w:val="0"/>
    <w:pPr>
      <w:numPr>
        <w:ilvl w:val="5"/>
        <w:numId w:val="2"/>
      </w:numPr>
      <w:ind w:firstLineChars="0"/>
    </w:pPr>
  </w:style>
  <w:style w:type="paragraph" w:customStyle="1" w:styleId="37">
    <w:name w:val="TI-3.三级标题"/>
    <w:basedOn w:val="25"/>
    <w:qFormat/>
    <w:uiPriority w:val="0"/>
    <w:pPr>
      <w:numPr>
        <w:ilvl w:val="2"/>
        <w:numId w:val="2"/>
      </w:numPr>
      <w:spacing w:before="60"/>
      <w:ind w:left="0" w:firstLineChars="0"/>
      <w:jc w:val="left"/>
      <w:outlineLvl w:val="2"/>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Microsoft_Visio_2003-2010___3.vsd"/><Relationship Id="rId18" Type="http://schemas.openxmlformats.org/officeDocument/2006/relationships/image" Target="media/image3.emf"/><Relationship Id="rId17" Type="http://schemas.openxmlformats.org/officeDocument/2006/relationships/package" Target="embeddings/Microsoft_Visio___2.vsdx"/><Relationship Id="rId16" Type="http://schemas.openxmlformats.org/officeDocument/2006/relationships/image" Target="media/image2.emf"/><Relationship Id="rId15" Type="http://schemas.openxmlformats.org/officeDocument/2006/relationships/package" Target="embeddings/Microsoft_Visio___1.vsdx"/><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3068</Words>
  <Characters>3457</Characters>
  <Lines>0</Lines>
  <Paragraphs>0</Paragraphs>
  <TotalTime>16</TotalTime>
  <ScaleCrop>false</ScaleCrop>
  <LinksUpToDate>false</LinksUpToDate>
  <CharactersWithSpaces>3578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负重前行</cp:lastModifiedBy>
  <dcterms:modified xsi:type="dcterms:W3CDTF">2025-08-07T07:12:27Z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60230EFAB1E244ACA095B3E3F0464029_13</vt:lpwstr>
  </property>
  <property fmtid="{D5CDD505-2E9C-101B-9397-08002B2CF9AE}" pid="4" name="KSOTemplateDocerSaveRecord">
    <vt:lpwstr>eyJoZGlkIjoiNjhhYjZjMjYzYzYyZjdmMTE3ZTZiMzIyZjU3NjU4OTIiLCJ1c2VySWQiOiIzODA0NjA1MTMifQ==</vt:lpwstr>
  </property>
</Properties>
</file>