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7BF">
      <w:pPr>
        <w:pStyle w:val="23"/>
        <w:ind w:firstLine="0"/>
        <w:jc w:val="center"/>
        <w:rPr>
          <w:rFonts w:hint="default" w:ascii="宋体" w:hAnsi="宋体" w:eastAsia="宋体"/>
          <w:b/>
          <w:sz w:val="48"/>
          <w:szCs w:val="48"/>
          <w:lang w:val="en-US" w:eastAsia="zh-CN"/>
        </w:rPr>
      </w:pPr>
      <w:bookmarkStart w:id="0" w:name="_Toc15804"/>
      <w:r>
        <w:rPr>
          <w:rFonts w:hint="eastAsia" w:ascii="宋体" w:hAnsi="宋体"/>
          <w:b/>
          <w:sz w:val="48"/>
          <w:szCs w:val="48"/>
        </w:rPr>
        <w:t>高粱冲光伏发电项目光伏场区</w:t>
      </w:r>
      <w:r>
        <w:rPr>
          <w:rFonts w:hint="eastAsia" w:ascii="宋体" w:hAnsi="宋体" w:eastAsia="宋体" w:cs="宋体"/>
          <w:b/>
          <w:bCs/>
          <w:i w:val="0"/>
          <w:iCs w:val="0"/>
          <w:color w:val="000000"/>
          <w:kern w:val="0"/>
          <w:sz w:val="48"/>
          <w:szCs w:val="48"/>
          <w:u w:val="none"/>
          <w:lang w:val="en-US" w:eastAsia="zh-CN" w:bidi="ar"/>
        </w:rPr>
        <w:t>35kV高粱冲光伏调度通信设备</w:t>
      </w:r>
      <w:r>
        <w:rPr>
          <w:rFonts w:hint="eastAsia" w:ascii="宋体" w:hAnsi="宋体"/>
          <w:b/>
          <w:sz w:val="48"/>
          <w:szCs w:val="48"/>
          <w:lang w:val="en-US" w:eastAsia="zh-CN"/>
        </w:rPr>
        <w:t>采购项目</w:t>
      </w:r>
    </w:p>
    <w:p w14:paraId="606B8D74">
      <w:pPr>
        <w:pStyle w:val="23"/>
        <w:ind w:firstLine="0"/>
        <w:rPr>
          <w:rFonts w:ascii="宋体" w:hAnsi="宋体"/>
          <w:b/>
          <w:sz w:val="52"/>
          <w:szCs w:val="52"/>
        </w:rPr>
      </w:pPr>
    </w:p>
    <w:p w14:paraId="65AB21F5">
      <w:pPr>
        <w:pStyle w:val="23"/>
        <w:ind w:firstLine="0"/>
        <w:jc w:val="center"/>
        <w:rPr>
          <w:rFonts w:ascii="宋体" w:hAnsi="宋体"/>
          <w:b/>
          <w:sz w:val="52"/>
          <w:szCs w:val="52"/>
        </w:rPr>
      </w:pPr>
    </w:p>
    <w:p w14:paraId="5429BB73">
      <w:pPr>
        <w:pStyle w:val="23"/>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23"/>
        <w:ind w:firstLine="0"/>
        <w:jc w:val="center"/>
        <w:rPr>
          <w:rFonts w:ascii="宋体" w:hAnsi="宋体"/>
        </w:rPr>
      </w:pPr>
    </w:p>
    <w:p w14:paraId="6621BFDE">
      <w:pPr>
        <w:pStyle w:val="23"/>
        <w:ind w:firstLine="0"/>
        <w:jc w:val="center"/>
        <w:rPr>
          <w:rFonts w:ascii="宋体" w:hAnsi="宋体"/>
          <w:b/>
          <w:sz w:val="36"/>
        </w:rPr>
      </w:pPr>
      <w:r>
        <w:drawing>
          <wp:inline distT="0" distB="0" distL="114300" distR="114300">
            <wp:extent cx="2145030" cy="2108835"/>
            <wp:effectExtent l="0" t="0" r="127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2145030" cy="2108835"/>
                    </a:xfrm>
                    <a:prstGeom prst="rect">
                      <a:avLst/>
                    </a:prstGeom>
                    <a:noFill/>
                    <a:ln>
                      <a:noFill/>
                    </a:ln>
                  </pic:spPr>
                </pic:pic>
              </a:graphicData>
            </a:graphic>
          </wp:inline>
        </w:drawing>
      </w:r>
    </w:p>
    <w:p w14:paraId="4823A0E9">
      <w:pPr>
        <w:pStyle w:val="24"/>
        <w:ind w:firstLine="0"/>
        <w:rPr>
          <w:rFonts w:ascii="宋体" w:hAnsi="宋体"/>
          <w:sz w:val="18"/>
        </w:rPr>
      </w:pPr>
    </w:p>
    <w:p w14:paraId="08E1BDE0">
      <w:pPr>
        <w:pStyle w:val="24"/>
        <w:ind w:firstLine="0"/>
        <w:jc w:val="center"/>
        <w:rPr>
          <w:rFonts w:ascii="宋体" w:hAnsi="宋体"/>
          <w:sz w:val="18"/>
        </w:rPr>
      </w:pPr>
    </w:p>
    <w:p w14:paraId="7BE5FAC1">
      <w:pPr>
        <w:pStyle w:val="24"/>
        <w:ind w:firstLine="0"/>
        <w:jc w:val="center"/>
        <w:rPr>
          <w:rFonts w:ascii="宋体" w:hAnsi="宋体"/>
          <w:sz w:val="18"/>
        </w:rPr>
      </w:pPr>
    </w:p>
    <w:p w14:paraId="549F3A2F">
      <w:pPr>
        <w:pStyle w:val="24"/>
        <w:ind w:firstLine="0"/>
        <w:jc w:val="center"/>
        <w:rPr>
          <w:rFonts w:ascii="宋体" w:hAnsi="宋体"/>
          <w:sz w:val="18"/>
        </w:rPr>
      </w:pPr>
    </w:p>
    <w:p w14:paraId="6F42F20A">
      <w:pPr>
        <w:pStyle w:val="24"/>
        <w:ind w:firstLine="0"/>
        <w:jc w:val="center"/>
        <w:rPr>
          <w:rFonts w:ascii="宋体" w:hAnsi="宋体"/>
          <w:sz w:val="18"/>
        </w:rPr>
      </w:pPr>
    </w:p>
    <w:p w14:paraId="6F8895C8">
      <w:pPr>
        <w:pStyle w:val="24"/>
        <w:ind w:firstLine="0"/>
        <w:jc w:val="center"/>
        <w:rPr>
          <w:rFonts w:ascii="宋体" w:hAnsi="宋体"/>
          <w:sz w:val="18"/>
        </w:rPr>
      </w:pPr>
    </w:p>
    <w:p w14:paraId="26B69CD1">
      <w:pPr>
        <w:pStyle w:val="24"/>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2128369886"/>
          <w:lang w:eastAsia="zh-CN"/>
        </w:rPr>
        <w:t>采购</w:t>
      </w:r>
      <w:r>
        <w:rPr>
          <w:rFonts w:hint="eastAsia" w:ascii="宋体" w:hAnsi="宋体"/>
          <w:b/>
          <w:spacing w:val="1"/>
          <w:kern w:val="0"/>
          <w:sz w:val="30"/>
          <w:szCs w:val="30"/>
          <w:fitText w:val="1803" w:id="2128369886"/>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24"/>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val="en-US" w:eastAsia="zh-CN"/>
        </w:rPr>
        <w:t>八</w:t>
      </w:r>
      <w:r>
        <w:rPr>
          <w:rFonts w:hint="eastAsia" w:ascii="宋体" w:hAnsi="宋体"/>
          <w:b/>
          <w:sz w:val="28"/>
          <w:szCs w:val="28"/>
        </w:rPr>
        <w:t>月</w:t>
      </w:r>
    </w:p>
    <w:p w14:paraId="5054E0F7">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3DE67515">
      <w:pPr>
        <w:rPr>
          <w:rFonts w:hint="eastAsia" w:ascii="宋体" w:hAnsi="宋体" w:eastAsia="宋体" w:cs="宋体"/>
          <w:color w:val="auto"/>
          <w:highlight w:val="none"/>
        </w:rPr>
      </w:pPr>
    </w:p>
    <w:p w14:paraId="57D7DDB2">
      <w:pPr>
        <w:pStyle w:val="4"/>
        <w:rPr>
          <w:rFonts w:hint="eastAsia"/>
        </w:rPr>
      </w:pPr>
    </w:p>
    <w:p w14:paraId="107E209C">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20"/>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pStyle w:val="20"/>
        <w:pageBreakBefore w:val="0"/>
        <w:kinsoku/>
        <w:topLinePunct w:val="0"/>
        <w:bidi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u w:val="single"/>
          <w:lang w:val="en-US" w:eastAsia="zh-CN"/>
        </w:rPr>
        <w:t>高粱冲光伏发电项目</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b w:val="0"/>
          <w:bCs w:val="0"/>
          <w:i w:val="0"/>
          <w:iCs w:val="0"/>
          <w:color w:val="000000"/>
          <w:kern w:val="0"/>
          <w:sz w:val="24"/>
          <w:szCs w:val="24"/>
          <w:u w:val="single"/>
          <w:lang w:val="en-US" w:eastAsia="zh-CN" w:bidi="ar"/>
        </w:rPr>
        <w:t>5kV高粱冲</w:t>
      </w:r>
      <w:r>
        <w:rPr>
          <w:rFonts w:hint="eastAsia" w:ascii="宋体" w:hAnsi="宋体" w:eastAsia="宋体" w:cs="宋体"/>
          <w:color w:val="auto"/>
          <w:sz w:val="24"/>
          <w:szCs w:val="24"/>
          <w:highlight w:val="none"/>
          <w:u w:val="single"/>
          <w:lang w:val="en-US" w:eastAsia="zh-CN"/>
        </w:rPr>
        <w:t>光伏</w:t>
      </w:r>
      <w:r>
        <w:rPr>
          <w:rFonts w:hint="eastAsia" w:ascii="宋体" w:hAnsi="宋体" w:eastAsia="宋体" w:cs="宋体"/>
          <w:b w:val="0"/>
          <w:bCs w:val="0"/>
          <w:i w:val="0"/>
          <w:iCs w:val="0"/>
          <w:color w:val="000000"/>
          <w:kern w:val="0"/>
          <w:sz w:val="24"/>
          <w:szCs w:val="24"/>
          <w:u w:val="single"/>
          <w:lang w:val="en-US" w:eastAsia="zh-CN" w:bidi="ar"/>
        </w:rPr>
        <w:t>调度通信设备</w:t>
      </w:r>
      <w:r>
        <w:rPr>
          <w:rFonts w:hint="eastAsia" w:ascii="宋体" w:hAnsi="宋体" w:eastAsia="宋体" w:cs="宋体"/>
          <w:color w:val="auto"/>
          <w:sz w:val="24"/>
          <w:highlight w:val="none"/>
          <w:u w:val="single"/>
          <w:lang w:val="en-US" w:eastAsia="zh-CN"/>
        </w:rPr>
        <w:t>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b w:val="0"/>
          <w:bCs w:val="0"/>
          <w:i w:val="0"/>
          <w:iCs w:val="0"/>
          <w:color w:val="000000"/>
          <w:kern w:val="0"/>
          <w:sz w:val="24"/>
          <w:szCs w:val="24"/>
          <w:u w:val="single"/>
          <w:lang w:val="en-US" w:eastAsia="zh-CN" w:bidi="ar"/>
        </w:rPr>
        <w:t>5kV高粱冲</w:t>
      </w:r>
      <w:r>
        <w:rPr>
          <w:rFonts w:hint="eastAsia" w:ascii="宋体" w:hAnsi="宋体" w:eastAsia="宋体" w:cs="宋体"/>
          <w:color w:val="auto"/>
          <w:sz w:val="24"/>
          <w:szCs w:val="24"/>
          <w:highlight w:val="none"/>
          <w:u w:val="single"/>
          <w:lang w:val="en-US" w:eastAsia="zh-CN"/>
        </w:rPr>
        <w:t>光伏</w:t>
      </w:r>
      <w:r>
        <w:rPr>
          <w:rFonts w:hint="eastAsia" w:ascii="宋体" w:hAnsi="宋体" w:eastAsia="宋体" w:cs="宋体"/>
          <w:b w:val="0"/>
          <w:bCs w:val="0"/>
          <w:i w:val="0"/>
          <w:iCs w:val="0"/>
          <w:color w:val="000000"/>
          <w:kern w:val="0"/>
          <w:sz w:val="24"/>
          <w:szCs w:val="24"/>
          <w:u w:val="single"/>
          <w:lang w:val="en-US" w:eastAsia="zh-CN" w:bidi="ar"/>
        </w:rPr>
        <w:t>调度通信设备</w:t>
      </w:r>
      <w:r>
        <w:rPr>
          <w:rFonts w:hint="eastAsia" w:ascii="宋体" w:hAnsi="宋体" w:eastAsia="宋体" w:cs="宋体"/>
          <w:color w:val="auto"/>
          <w:highlight w:val="none"/>
        </w:rPr>
        <w:t>进行采购，项目资金为</w:t>
      </w:r>
      <w:r>
        <w:rPr>
          <w:rFonts w:hint="eastAsia" w:cs="宋体"/>
          <w:color w:val="auto"/>
          <w:highlight w:val="none"/>
          <w:lang w:val="en-US" w:eastAsia="zh-CN"/>
        </w:rPr>
        <w:t>材料</w:t>
      </w:r>
      <w:r>
        <w:rPr>
          <w:rFonts w:hint="eastAsia" w:ascii="宋体" w:hAnsi="宋体" w:eastAsia="宋体" w:cs="宋体"/>
          <w:color w:val="auto"/>
          <w:highlight w:val="none"/>
        </w:rPr>
        <w:t>款，现邀请你单位参加本项目报价</w:t>
      </w:r>
      <w:r>
        <w:rPr>
          <w:rFonts w:hint="eastAsia" w:ascii="宋体" w:hAnsi="宋体" w:eastAsia="宋体" w:cs="宋体"/>
          <w:color w:val="auto"/>
          <w:highlight w:val="none"/>
          <w:lang w:eastAsia="zh-CN"/>
        </w:rPr>
        <w:t>。</w:t>
      </w:r>
    </w:p>
    <w:p w14:paraId="14615CCF">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20"/>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w:t>
      </w:r>
      <w:r>
        <w:rPr>
          <w:rFonts w:hint="eastAsia" w:cs="宋体"/>
          <w:color w:val="auto"/>
          <w:kern w:val="2"/>
          <w:sz w:val="24"/>
          <w:szCs w:val="24"/>
          <w:highlight w:val="none"/>
          <w:lang w:val="en-US" w:eastAsia="zh-CN" w:bidi="ar-SA"/>
        </w:rPr>
        <w:t>7760</w:t>
      </w:r>
      <w:r>
        <w:rPr>
          <w:rFonts w:hint="eastAsia" w:ascii="宋体" w:hAnsi="宋体" w:eastAsia="宋体" w:cs="宋体"/>
          <w:color w:val="auto"/>
          <w:kern w:val="2"/>
          <w:sz w:val="24"/>
          <w:szCs w:val="24"/>
          <w:highlight w:val="none"/>
          <w:lang w:val="en-US" w:eastAsia="zh-CN" w:bidi="ar-SA"/>
        </w:rPr>
        <w:t>㎡，光伏阵列占地 690195㎡。</w:t>
      </w:r>
    </w:p>
    <w:p w14:paraId="5040612A">
      <w:pPr>
        <w:pStyle w:val="20"/>
        <w:pageBreakBefore w:val="0"/>
        <w:numPr>
          <w:ilvl w:val="0"/>
          <w:numId w:val="2"/>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5"/>
        <w:tblW w:w="0" w:type="auto"/>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413"/>
        <w:gridCol w:w="2118"/>
        <w:gridCol w:w="754"/>
        <w:gridCol w:w="722"/>
        <w:gridCol w:w="1946"/>
        <w:gridCol w:w="1104"/>
      </w:tblGrid>
      <w:tr w14:paraId="7690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招标限价（元）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385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66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1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35kV高粱冲光伏调度通信设备</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DB1A">
            <w:pPr>
              <w:jc w:val="center"/>
              <w:rPr>
                <w:rFonts w:hint="eastAsia" w:ascii="宋体" w:hAnsi="宋体" w:eastAsia="宋体" w:cs="宋体"/>
                <w:b w:val="0"/>
                <w:bCs w:val="0"/>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A48">
            <w:pPr>
              <w:jc w:val="center"/>
              <w:rPr>
                <w:rFonts w:hint="eastAsia" w:ascii="宋体" w:hAnsi="宋体" w:eastAsia="宋体" w:cs="宋体"/>
                <w:b w:val="0"/>
                <w:bCs w:val="0"/>
                <w:i w:val="0"/>
                <w:iCs w:val="0"/>
                <w:color w:val="000000"/>
                <w:sz w:val="24"/>
                <w:szCs w:val="24"/>
                <w:u w:val="none"/>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09B">
            <w:pPr>
              <w:jc w:val="center"/>
              <w:rPr>
                <w:rFonts w:hint="eastAsia" w:ascii="宋体" w:hAnsi="宋体" w:eastAsia="宋体" w:cs="宋体"/>
                <w:b w:val="0"/>
                <w:bCs w:val="0"/>
                <w:i w:val="0"/>
                <w:iCs w:val="0"/>
                <w:color w:val="000000"/>
                <w:sz w:val="24"/>
                <w:szCs w:val="24"/>
                <w:u w:val="none"/>
                <w:lang w:val="en-US" w:eastAsia="zh-CN"/>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EC7C">
            <w:pPr>
              <w:jc w:val="center"/>
              <w:rPr>
                <w:rFonts w:hint="eastAsia" w:ascii="宋体" w:hAnsi="宋体" w:cs="宋体"/>
                <w:i w:val="0"/>
                <w:iCs w:val="0"/>
                <w:color w:val="000000"/>
                <w:sz w:val="24"/>
                <w:szCs w:val="24"/>
                <w:u w:val="none"/>
                <w:lang w:val="en-US" w:eastAsia="zh-CN"/>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AFA9">
            <w:pPr>
              <w:jc w:val="center"/>
              <w:rPr>
                <w:rFonts w:hint="eastAsia" w:ascii="宋体" w:hAnsi="宋体" w:eastAsia="宋体" w:cs="宋体"/>
                <w:i w:val="0"/>
                <w:iCs w:val="0"/>
                <w:color w:val="000000"/>
                <w:sz w:val="24"/>
                <w:szCs w:val="24"/>
                <w:u w:val="none"/>
              </w:rPr>
            </w:pPr>
          </w:p>
        </w:tc>
      </w:tr>
      <w:tr w14:paraId="2912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CE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A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保底通信网设备：STM-16光传输设备1套包含交叉、二次电源、时钟、公务、告警等基本功能；主要功能如交叉、二次电源等采用1+1配置(交叉能力：≥128×128VC4)；带电源分配单元，光模块8块，电源分配单元1套；</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B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机柜尺寸：2260mm（高）×800mm（宽）×600mm</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AA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0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C1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0"/>
                <w:szCs w:val="20"/>
                <w:u w:val="none"/>
                <w:lang w:val="en-US" w:eastAsia="zh-CN" w:bidi="ar"/>
              </w:rPr>
              <w:t xml:space="preserve">258500.00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721">
            <w:pPr>
              <w:jc w:val="center"/>
              <w:rPr>
                <w:rFonts w:hint="eastAsia" w:ascii="宋体" w:hAnsi="宋体" w:eastAsia="宋体" w:cs="宋体"/>
                <w:i w:val="0"/>
                <w:iCs w:val="0"/>
                <w:color w:val="000000"/>
                <w:sz w:val="24"/>
                <w:szCs w:val="24"/>
                <w:u w:val="none"/>
              </w:rPr>
            </w:pPr>
          </w:p>
        </w:tc>
      </w:tr>
      <w:tr w14:paraId="3765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89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6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2M专线通信：纵向加密认证装置1台，业务交换机1台，2M专线路由器1台；</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37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机柜尺寸：2260mm（高）×800mm（宽）×600mm</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EC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B3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8F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0"/>
                <w:szCs w:val="20"/>
                <w:u w:val="none"/>
                <w:lang w:val="en-US" w:eastAsia="zh-CN" w:bidi="ar"/>
              </w:rPr>
              <w:t xml:space="preserve">41800.00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E87D">
            <w:pPr>
              <w:jc w:val="center"/>
              <w:rPr>
                <w:rFonts w:hint="eastAsia" w:ascii="宋体" w:hAnsi="宋体" w:eastAsia="宋体" w:cs="宋体"/>
                <w:i w:val="0"/>
                <w:iCs w:val="0"/>
                <w:color w:val="000000"/>
                <w:sz w:val="24"/>
                <w:szCs w:val="24"/>
                <w:u w:val="none"/>
              </w:rPr>
            </w:pPr>
          </w:p>
        </w:tc>
      </w:tr>
      <w:tr w14:paraId="06A5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EC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A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语音视频专网设备：2台IP电话（ 1000 小时以上在线录音）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1台语音视频专网交换机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1台电信电话（ 1000 小时以上在线录音）</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CB47">
            <w:pPr>
              <w:jc w:val="center"/>
              <w:rPr>
                <w:rFonts w:hint="eastAsia" w:ascii="宋体" w:hAnsi="宋体" w:eastAsia="宋体" w:cs="宋体"/>
                <w:b w:val="0"/>
                <w:bCs w:val="0"/>
                <w:i w:val="0"/>
                <w:iCs w:val="0"/>
                <w:color w:val="000000"/>
                <w:sz w:val="24"/>
                <w:szCs w:val="24"/>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CF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A1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96C2">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0"/>
                <w:szCs w:val="20"/>
                <w:u w:val="none"/>
                <w:lang w:val="en-US" w:eastAsia="zh-CN" w:bidi="ar"/>
              </w:rPr>
              <w:t xml:space="preserve">6600.00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F968">
            <w:pPr>
              <w:jc w:val="center"/>
              <w:rPr>
                <w:rFonts w:hint="eastAsia" w:ascii="宋体" w:hAnsi="宋体" w:eastAsia="宋体" w:cs="宋体"/>
                <w:i w:val="0"/>
                <w:iCs w:val="0"/>
                <w:color w:val="000000"/>
                <w:sz w:val="24"/>
                <w:szCs w:val="24"/>
                <w:u w:val="none"/>
              </w:rPr>
            </w:pPr>
          </w:p>
        </w:tc>
      </w:tr>
      <w:tr w14:paraId="2396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141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7C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综合配线柜：DDF数字配线架1套，IDF配线架1套，光纤配线架2套（含对侧1套）。</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A7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机柜尺寸：2260mm（高）×800mm（宽）×600mm</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9F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0C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8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7700.00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56C1">
            <w:pPr>
              <w:jc w:val="center"/>
              <w:rPr>
                <w:rFonts w:hint="eastAsia" w:ascii="宋体" w:hAnsi="宋体" w:eastAsia="宋体" w:cs="宋体"/>
                <w:i w:val="0"/>
                <w:iCs w:val="0"/>
                <w:color w:val="000000"/>
                <w:sz w:val="24"/>
                <w:szCs w:val="24"/>
                <w:u w:val="none"/>
              </w:rPr>
            </w:pPr>
          </w:p>
        </w:tc>
      </w:tr>
      <w:tr w14:paraId="095C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748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0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调度数据网络机柜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每面含：路由器1台，纵向加密认证装置1台,交换机2台，防火墙共1台</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41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机柜尺寸：800(宽)×600(深)×2260(高)mm</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31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E6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A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99000.00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2B81">
            <w:pPr>
              <w:jc w:val="center"/>
              <w:rPr>
                <w:rFonts w:hint="eastAsia" w:ascii="宋体" w:hAnsi="宋体" w:eastAsia="宋体" w:cs="宋体"/>
                <w:i w:val="0"/>
                <w:iCs w:val="0"/>
                <w:color w:val="000000"/>
                <w:sz w:val="24"/>
                <w:szCs w:val="24"/>
                <w:u w:val="none"/>
              </w:rPr>
            </w:pPr>
          </w:p>
        </w:tc>
      </w:tr>
      <w:tr w14:paraId="45EF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D6D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70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调度指挥网络交互系统受令终端设备</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273B">
            <w:pPr>
              <w:jc w:val="center"/>
              <w:rPr>
                <w:rFonts w:hint="eastAsia" w:ascii="宋体" w:hAnsi="宋体" w:eastAsia="宋体" w:cs="宋体"/>
                <w:b w:val="0"/>
                <w:bCs w:val="0"/>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91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4D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3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6600.00 </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173">
            <w:pPr>
              <w:jc w:val="center"/>
              <w:rPr>
                <w:rFonts w:hint="eastAsia" w:ascii="宋体" w:hAnsi="宋体" w:eastAsia="宋体" w:cs="宋体"/>
                <w:i w:val="0"/>
                <w:iCs w:val="0"/>
                <w:color w:val="000000"/>
                <w:sz w:val="24"/>
                <w:szCs w:val="24"/>
                <w:u w:val="none"/>
              </w:rPr>
            </w:pPr>
          </w:p>
        </w:tc>
      </w:tr>
      <w:tr w14:paraId="554B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4A1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7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9"/>
                <w:rFonts w:hint="eastAsia" w:ascii="宋体" w:hAnsi="宋体" w:eastAsia="宋体" w:cs="宋体"/>
                <w:sz w:val="24"/>
                <w:szCs w:val="24"/>
                <w:lang w:val="en-US" w:eastAsia="zh-CN" w:bidi="ar"/>
              </w:rPr>
              <w:t>二次安防柜</w:t>
            </w:r>
            <w:r>
              <w:rPr>
                <w:rStyle w:val="30"/>
                <w:rFonts w:hint="eastAsia" w:ascii="宋体" w:hAnsi="宋体" w:eastAsia="宋体" w:cs="宋体"/>
                <w:sz w:val="24"/>
                <w:szCs w:val="24"/>
                <w:lang w:val="en-US" w:eastAsia="zh-CN" w:bidi="ar"/>
              </w:rPr>
              <w:t xml:space="preserve"> </w:t>
            </w:r>
            <w:r>
              <w:rPr>
                <w:rStyle w:val="29"/>
                <w:rFonts w:hint="eastAsia" w:ascii="宋体" w:hAnsi="宋体" w:eastAsia="宋体" w:cs="宋体"/>
                <w:sz w:val="24"/>
                <w:szCs w:val="24"/>
                <w:lang w:val="en-US" w:eastAsia="zh-CN" w:bidi="ar"/>
              </w:rPr>
              <w:t>配置安全态势感知终端</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套、日志审计平台设备</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套、入侵检测系统（</w:t>
            </w:r>
            <w:r>
              <w:rPr>
                <w:rStyle w:val="30"/>
                <w:rFonts w:hint="eastAsia" w:ascii="宋体" w:hAnsi="宋体" w:eastAsia="宋体" w:cs="宋体"/>
                <w:sz w:val="24"/>
                <w:szCs w:val="24"/>
                <w:lang w:val="en-US" w:eastAsia="zh-CN" w:bidi="ar"/>
              </w:rPr>
              <w:t>IDS</w:t>
            </w:r>
            <w:r>
              <w:rPr>
                <w:rStyle w:val="29"/>
                <w:rFonts w:hint="eastAsia" w:ascii="宋体" w:hAnsi="宋体" w:eastAsia="宋体" w:cs="宋体"/>
                <w:sz w:val="24"/>
                <w:szCs w:val="24"/>
                <w:lang w:val="en-US" w:eastAsia="zh-CN" w:bidi="ar"/>
              </w:rPr>
              <w:t>）设备</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套、运维堡垒机</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套，主机加固系统</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0DF7">
            <w:pPr>
              <w:jc w:val="center"/>
              <w:rPr>
                <w:rFonts w:hint="eastAsia" w:ascii="宋体" w:hAnsi="宋体" w:eastAsia="宋体" w:cs="宋体"/>
                <w:b w:val="0"/>
                <w:bCs w:val="0"/>
                <w:i w:val="0"/>
                <w:iCs w:val="0"/>
                <w:color w:val="000000"/>
                <w:kern w:val="0"/>
                <w:sz w:val="24"/>
                <w:szCs w:val="24"/>
                <w:u w:val="none"/>
                <w:lang w:val="en-US" w:eastAsia="zh-CN" w:bidi="ar"/>
              </w:rPr>
            </w:pPr>
            <w:r>
              <w:rPr>
                <w:rStyle w:val="30"/>
                <w:rFonts w:hint="eastAsia" w:ascii="宋体" w:hAnsi="宋体" w:eastAsia="宋体" w:cs="宋体"/>
                <w:sz w:val="24"/>
                <w:szCs w:val="24"/>
                <w:lang w:val="en-US" w:eastAsia="zh-CN" w:bidi="ar"/>
              </w:rPr>
              <w:t>800(</w:t>
            </w:r>
            <w:r>
              <w:rPr>
                <w:rStyle w:val="29"/>
                <w:rFonts w:hint="eastAsia" w:ascii="宋体" w:hAnsi="宋体" w:eastAsia="宋体" w:cs="宋体"/>
                <w:sz w:val="24"/>
                <w:szCs w:val="24"/>
                <w:lang w:val="en-US" w:eastAsia="zh-CN" w:bidi="ar"/>
              </w:rPr>
              <w:t>宽</w:t>
            </w:r>
            <w:r>
              <w:rPr>
                <w:rStyle w:val="30"/>
                <w:rFonts w:hint="eastAsia" w:ascii="宋体" w:hAnsi="宋体" w:eastAsia="宋体" w:cs="宋体"/>
                <w:sz w:val="24"/>
                <w:szCs w:val="24"/>
                <w:lang w:val="en-US" w:eastAsia="zh-CN" w:bidi="ar"/>
              </w:rPr>
              <w:t>)×600(</w:t>
            </w:r>
            <w:r>
              <w:rPr>
                <w:rStyle w:val="29"/>
                <w:rFonts w:hint="eastAsia" w:ascii="宋体" w:hAnsi="宋体" w:eastAsia="宋体" w:cs="宋体"/>
                <w:sz w:val="24"/>
                <w:szCs w:val="24"/>
                <w:lang w:val="en-US" w:eastAsia="zh-CN" w:bidi="ar"/>
              </w:rPr>
              <w:t>深</w:t>
            </w:r>
            <w:r>
              <w:rPr>
                <w:rStyle w:val="30"/>
                <w:rFonts w:hint="eastAsia" w:ascii="宋体" w:hAnsi="宋体" w:eastAsia="宋体" w:cs="宋体"/>
                <w:sz w:val="24"/>
                <w:szCs w:val="24"/>
                <w:lang w:val="en-US" w:eastAsia="zh-CN" w:bidi="ar"/>
              </w:rPr>
              <w:t>)×2260(</w:t>
            </w:r>
            <w:r>
              <w:rPr>
                <w:rStyle w:val="29"/>
                <w:rFonts w:hint="eastAsia" w:ascii="宋体" w:hAnsi="宋体" w:eastAsia="宋体" w:cs="宋体"/>
                <w:sz w:val="24"/>
                <w:szCs w:val="24"/>
                <w:lang w:val="en-US" w:eastAsia="zh-CN" w:bidi="ar"/>
              </w:rPr>
              <w:t>高</w:t>
            </w:r>
            <w:r>
              <w:rPr>
                <w:rStyle w:val="30"/>
                <w:rFonts w:hint="eastAsia" w:ascii="宋体" w:hAnsi="宋体" w:eastAsia="宋体" w:cs="宋体"/>
                <w:sz w:val="24"/>
                <w:szCs w:val="24"/>
                <w:lang w:val="en-US" w:eastAsia="zh-CN" w:bidi="ar"/>
              </w:rPr>
              <w:t>)mm</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50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4C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B27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w:t>
            </w:r>
            <w:r>
              <w:rPr>
                <w:rFonts w:hint="eastAsia" w:ascii="宋体" w:hAnsi="宋体" w:cs="宋体"/>
                <w:i w:val="0"/>
                <w:iCs w:val="0"/>
                <w:color w:val="000000"/>
                <w:kern w:val="0"/>
                <w:sz w:val="20"/>
                <w:szCs w:val="20"/>
                <w:u w:val="none"/>
                <w:lang w:val="en-US" w:eastAsia="zh-CN" w:bidi="ar"/>
              </w:rPr>
              <w:t>0</w:t>
            </w:r>
          </w:p>
          <w:p w14:paraId="08A02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38A5">
            <w:pPr>
              <w:jc w:val="center"/>
              <w:rPr>
                <w:rFonts w:hint="eastAsia" w:ascii="宋体" w:hAnsi="宋体" w:eastAsia="宋体" w:cs="宋体"/>
                <w:i w:val="0"/>
                <w:iCs w:val="0"/>
                <w:color w:val="000000"/>
                <w:sz w:val="24"/>
                <w:szCs w:val="24"/>
                <w:u w:val="none"/>
              </w:rPr>
            </w:pPr>
          </w:p>
        </w:tc>
      </w:tr>
      <w:tr w14:paraId="1D44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640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80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电力监控系统安全防护评估及信息安全等级保护测评</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7E34">
            <w:pPr>
              <w:jc w:val="center"/>
              <w:rPr>
                <w:rFonts w:hint="eastAsia" w:ascii="宋体" w:hAnsi="宋体" w:eastAsia="宋体" w:cs="宋体"/>
                <w:b w:val="0"/>
                <w:bCs w:val="0"/>
                <w:i w:val="0"/>
                <w:iCs w:val="0"/>
                <w:color w:val="000000"/>
                <w:kern w:val="0"/>
                <w:sz w:val="24"/>
                <w:szCs w:val="24"/>
                <w:u w:val="none"/>
                <w:lang w:val="en-US" w:eastAsia="zh-CN" w:bidi="ar"/>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39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6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46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41800</w:t>
            </w:r>
            <w:r>
              <w:rPr>
                <w:rFonts w:hint="eastAsia" w:ascii="宋体" w:hAnsi="宋体" w:cs="宋体"/>
                <w:i w:val="0"/>
                <w:iCs w:val="0"/>
                <w:color w:val="000000"/>
                <w:kern w:val="0"/>
                <w:sz w:val="20"/>
                <w:szCs w:val="20"/>
                <w:u w:val="none"/>
                <w:lang w:val="en-US" w:eastAsia="zh-CN" w:bidi="ar"/>
              </w:rPr>
              <w:t>.00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C7B8">
            <w:pPr>
              <w:jc w:val="center"/>
              <w:rPr>
                <w:rFonts w:hint="eastAsia" w:ascii="宋体" w:hAnsi="宋体" w:eastAsia="宋体" w:cs="宋体"/>
                <w:i w:val="0"/>
                <w:iCs w:val="0"/>
                <w:color w:val="000000"/>
                <w:sz w:val="24"/>
                <w:szCs w:val="24"/>
                <w:u w:val="none"/>
              </w:rPr>
            </w:pPr>
          </w:p>
        </w:tc>
      </w:tr>
    </w:tbl>
    <w:p w14:paraId="4F10B942">
      <w:pPr>
        <w:pStyle w:val="20"/>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20"/>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单个工程</w:t>
      </w:r>
      <w:r>
        <w:rPr>
          <w:rFonts w:hint="eastAsia" w:ascii="宋体" w:hAnsi="宋体" w:eastAsia="宋体" w:cs="宋体"/>
          <w:color w:val="auto"/>
          <w:sz w:val="24"/>
          <w:highlight w:val="none"/>
          <w:lang w:val="en-US" w:eastAsia="zh-CN"/>
        </w:rPr>
        <w:t>，以实际采购量为准。</w:t>
      </w:r>
    </w:p>
    <w:p w14:paraId="414CFA9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15日</w:t>
      </w:r>
      <w:r>
        <w:rPr>
          <w:rFonts w:hint="eastAsia" w:ascii="宋体" w:hAnsi="宋体" w:eastAsia="宋体" w:cs="宋体"/>
          <w:b w:val="0"/>
          <w:bCs w:val="0"/>
          <w:color w:val="auto"/>
          <w:kern w:val="2"/>
          <w:sz w:val="24"/>
          <w:szCs w:val="24"/>
          <w:highlight w:val="none"/>
          <w:lang w:val="en-US" w:eastAsia="zh-CN" w:bidi="ar-SA"/>
        </w:rPr>
        <w:t>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7"/>
          <w:rFonts w:hint="eastAsia" w:ascii="宋体" w:hAnsi="宋体" w:eastAsia="宋体" w:cs="宋体"/>
          <w:color w:val="auto"/>
          <w:kern w:val="0"/>
          <w:sz w:val="24"/>
          <w:highlight w:val="none"/>
        </w:rPr>
        <w:t>www.creditchina.gov.cn）系统查询截图）</w:t>
      </w:r>
      <w:r>
        <w:rPr>
          <w:rStyle w:val="17"/>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47C5E4B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2" w:name="OLE_LINK3"/>
      <w:r>
        <w:rPr>
          <w:rFonts w:hint="eastAsia" w:ascii="宋体" w:hAnsi="宋体" w:eastAsia="宋体" w:cs="宋体"/>
          <w:color w:val="auto"/>
          <w:sz w:val="28"/>
          <w:szCs w:val="28"/>
          <w:highlight w:val="none"/>
          <w:lang w:val="en-US" w:eastAsia="zh-CN"/>
        </w:rPr>
        <w:t>询比价文件的获取</w:t>
      </w:r>
      <w:bookmarkEnd w:id="2"/>
    </w:p>
    <w:p w14:paraId="7C5DA177">
      <w:pPr>
        <w:pStyle w:val="20"/>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5.1收到询比价邀请函并书面确认回复愿意参加本项目报价的单位应按相应规定进行下载询比价文件（否则报价文件不予接受），报名询比价文件下载时间：2025年0</w:t>
      </w:r>
      <w:r>
        <w:rPr>
          <w:rFonts w:hint="eastAsia"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04</w:t>
      </w:r>
      <w:r>
        <w:rPr>
          <w:rFonts w:hint="eastAsia" w:ascii="宋体" w:hAnsi="宋体" w:eastAsia="宋体" w:cs="宋体"/>
          <w:color w:val="auto"/>
          <w:kern w:val="2"/>
          <w:sz w:val="24"/>
          <w:szCs w:val="24"/>
          <w:highlight w:val="none"/>
          <w:lang w:val="en-US" w:eastAsia="zh-CN" w:bidi="ar-SA"/>
        </w:rPr>
        <w:t>日起至2025年</w:t>
      </w:r>
      <w:r>
        <w:rPr>
          <w:rFonts w:hint="eastAsia"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日，每日上午09:00至11:30（北京时间），下午14:00至17:30（北京时间）。</w:t>
      </w:r>
    </w:p>
    <w:p w14:paraId="332E6ED1">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5.2报名方式：</w:t>
      </w:r>
    </w:p>
    <w:p w14:paraId="22AF9F78">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5.2.1方式一：线上报名询比价文件的，可在询比价文件下载时间内，登录“云南朔铭电力工程有限公司”网站(http://www.yndlgc.com)点击“招标信息”进入招标文件进行相应报价报名及下载询比价邀请函。</w:t>
      </w:r>
    </w:p>
    <w:p w14:paraId="3D650BEB">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5.2.2方式二：至采购公司现场报名并购买询比价文件的，请在询比价文件时间内，每日上午09:00至11:30（北京时间），下午14:00至17:30（北京时间），在中国（云南）自由贸易试验区昆明片区官渡区关上街道中樾花园—云境苑3栋18层持相应报名资料购买询比价文件；购买询比价文件时应提供以下报名资料：【1）企业营业执照(复印件加盖公章)、2）法定代表人身份证明书(盖公章)、3）法定代表人授权委托书(加盖公章且法人签字或签章)及被授权人身份证，若为法人代表本人前来报名询比价文件则提供法人本人身份证无需提供授权委托书、4）联系人的电话、传真、E-mail等联系方式资料】。</w:t>
      </w:r>
    </w:p>
    <w:p w14:paraId="52F622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六、报价文件的递交及开标</w:t>
      </w:r>
    </w:p>
    <w:p w14:paraId="57A2F277">
      <w:pPr>
        <w:spacing w:line="440" w:lineRule="exact"/>
        <w:ind w:firstLine="480"/>
        <w:rPr>
          <w:rFonts w:ascii="宋体" w:hAnsi="宋体"/>
          <w:bCs/>
          <w:sz w:val="24"/>
          <w:szCs w:val="24"/>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eastAsia="zh-CN"/>
        </w:rPr>
        <w:t>报价</w:t>
      </w:r>
      <w:r>
        <w:rPr>
          <w:rFonts w:hint="eastAsia" w:ascii="宋体" w:hAnsi="宋体"/>
          <w:bCs/>
          <w:sz w:val="24"/>
          <w:szCs w:val="24"/>
          <w:highlight w:val="none"/>
        </w:rPr>
        <w:t>文件递交的截止时间（</w:t>
      </w:r>
      <w:r>
        <w:rPr>
          <w:rFonts w:hint="eastAsia" w:ascii="宋体" w:hAnsi="宋体"/>
          <w:bCs/>
          <w:sz w:val="24"/>
          <w:szCs w:val="24"/>
          <w:highlight w:val="none"/>
          <w:lang w:eastAsia="zh-CN"/>
        </w:rPr>
        <w:t>报价</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08</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13</w:t>
      </w:r>
      <w:r>
        <w:rPr>
          <w:rFonts w:hint="eastAsia" w:ascii="宋体" w:hAnsi="宋体"/>
          <w:bCs/>
          <w:sz w:val="24"/>
          <w:szCs w:val="24"/>
          <w:highlight w:val="none"/>
        </w:rPr>
        <w:t>日</w:t>
      </w:r>
      <w:r>
        <w:rPr>
          <w:rFonts w:hint="eastAsia" w:ascii="宋体" w:hAnsi="宋体"/>
          <w:bCs/>
          <w:sz w:val="24"/>
          <w:szCs w:val="24"/>
          <w:highlight w:val="none"/>
          <w:lang w:val="en-US" w:eastAsia="zh-CN"/>
        </w:rPr>
        <w:t>下</w:t>
      </w:r>
      <w:r>
        <w:rPr>
          <w:rFonts w:hint="eastAsia" w:ascii="宋体" w:hAnsi="宋体"/>
          <w:bCs/>
          <w:sz w:val="24"/>
          <w:szCs w:val="24"/>
          <w:highlight w:val="none"/>
        </w:rPr>
        <w:t>午</w:t>
      </w:r>
      <w:r>
        <w:rPr>
          <w:rFonts w:hint="eastAsia" w:ascii="宋体" w:hAnsi="宋体"/>
          <w:bCs/>
          <w:sz w:val="24"/>
          <w:szCs w:val="24"/>
          <w:highlight w:val="none"/>
          <w:lang w:val="en-US" w:eastAsia="zh-CN"/>
        </w:rPr>
        <w:t>14</w:t>
      </w:r>
      <w:r>
        <w:rPr>
          <w:rFonts w:hint="eastAsia" w:ascii="宋体" w:hAnsi="宋体"/>
          <w:bCs/>
          <w:sz w:val="24"/>
          <w:szCs w:val="24"/>
          <w:highlight w:val="none"/>
        </w:rPr>
        <w:t>时30分，</w:t>
      </w:r>
      <w:r>
        <w:rPr>
          <w:rFonts w:hint="eastAsia" w:ascii="宋体" w:hAnsi="宋体"/>
          <w:bCs/>
          <w:sz w:val="24"/>
          <w:szCs w:val="24"/>
          <w:highlight w:val="none"/>
          <w:lang w:eastAsia="zh-CN"/>
        </w:rPr>
        <w:t>报价</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会议室（地址：中国（云南）自由贸易试验区昆明片区官渡区关上街道中樾花园—云境苑3栋18层）</w:t>
      </w:r>
      <w:r>
        <w:rPr>
          <w:rFonts w:hint="eastAsia" w:ascii="宋体" w:hAnsi="宋体"/>
          <w:bCs/>
          <w:sz w:val="24"/>
          <w:szCs w:val="24"/>
          <w:lang w:eastAsia="zh-CN"/>
        </w:rPr>
        <w:t>或以邮件发送至</w:t>
      </w:r>
      <w:r>
        <w:rPr>
          <w:rStyle w:val="19"/>
          <w:rFonts w:hint="eastAsia" w:ascii="宋体" w:hAnsi="宋体" w:cs="宋体"/>
          <w:b/>
          <w:spacing w:val="-5"/>
          <w:sz w:val="24"/>
          <w:szCs w:val="24"/>
        </w:rPr>
        <w:t>15368718425@163.com</w:t>
      </w:r>
      <w:r>
        <w:rPr>
          <w:rFonts w:hint="eastAsia" w:ascii="宋体" w:hAnsi="宋体"/>
          <w:bCs/>
          <w:sz w:val="24"/>
          <w:szCs w:val="24"/>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eastAsia="zh-CN"/>
        </w:rPr>
        <w:t>报价</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邮编：650200</w:t>
      </w:r>
    </w:p>
    <w:p w14:paraId="59C4F50B">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朱支龙</w:t>
      </w:r>
    </w:p>
    <w:p w14:paraId="26F27FB3">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18208887225</w:t>
      </w:r>
      <w:bookmarkStart w:id="59" w:name="_GoBack"/>
      <w:bookmarkEnd w:id="59"/>
    </w:p>
    <w:p w14:paraId="215C295B">
      <w:pPr>
        <w:pageBreakBefore w:val="0"/>
        <w:kinsoku/>
        <w:topLinePunct w:val="0"/>
        <w:bidi w:val="0"/>
        <w:spacing w:line="360" w:lineRule="auto"/>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把亚楠</w:t>
      </w:r>
    </w:p>
    <w:p w14:paraId="0C953FE0">
      <w:pPr>
        <w:pageBreakBefore w:val="0"/>
        <w:kinsoku/>
        <w:topLinePunct w:val="0"/>
        <w:bidi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13211642191</w:t>
      </w:r>
    </w:p>
    <w:p w14:paraId="68AD5939">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bookmarkStart w:id="3" w:name="_Toc19344"/>
    </w:p>
    <w:p w14:paraId="45E21B0C">
      <w:pPr>
        <w:pStyle w:val="2"/>
        <w:numPr>
          <w:ilvl w:val="0"/>
          <w:numId w:val="0"/>
        </w:numPr>
        <w:tabs>
          <w:tab w:val="left" w:pos="360"/>
        </w:tabs>
        <w:spacing w:before="480" w:beforeLines="200" w:line="480" w:lineRule="auto"/>
        <w:ind w:left="397" w:leftChars="0"/>
        <w:jc w:val="center"/>
        <w:rPr>
          <w:rFonts w:ascii="宋体" w:hAnsi="宋体" w:cs="宋体"/>
          <w:sz w:val="32"/>
          <w:szCs w:val="32"/>
        </w:rPr>
      </w:pPr>
      <w:bookmarkStart w:id="4" w:name="_Toc152253383"/>
      <w:bookmarkStart w:id="5" w:name="_Toc164874163"/>
      <w:bookmarkStart w:id="6" w:name="_Toc167374085"/>
      <w:bookmarkStart w:id="7" w:name="_Toc163472689"/>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高粱冲光伏发电项目</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b w:val="0"/>
          <w:bCs w:val="0"/>
          <w:i w:val="0"/>
          <w:iCs w:val="0"/>
          <w:color w:val="000000"/>
          <w:kern w:val="0"/>
          <w:sz w:val="24"/>
          <w:szCs w:val="24"/>
          <w:u w:val="single"/>
          <w:lang w:val="en-US" w:eastAsia="zh-CN" w:bidi="ar"/>
        </w:rPr>
        <w:t>5kV高粱冲</w:t>
      </w:r>
      <w:r>
        <w:rPr>
          <w:rFonts w:hint="eastAsia" w:ascii="宋体" w:hAnsi="宋体" w:eastAsia="宋体" w:cs="宋体"/>
          <w:color w:val="auto"/>
          <w:sz w:val="24"/>
          <w:szCs w:val="24"/>
          <w:highlight w:val="none"/>
          <w:u w:val="single"/>
          <w:lang w:val="en-US" w:eastAsia="zh-CN"/>
        </w:rPr>
        <w:t>光伏</w:t>
      </w:r>
      <w:r>
        <w:rPr>
          <w:rFonts w:hint="eastAsia" w:ascii="宋体" w:hAnsi="宋体" w:eastAsia="宋体" w:cs="宋体"/>
          <w:b w:val="0"/>
          <w:bCs w:val="0"/>
          <w:i w:val="0"/>
          <w:iCs w:val="0"/>
          <w:color w:val="000000"/>
          <w:kern w:val="0"/>
          <w:sz w:val="24"/>
          <w:szCs w:val="24"/>
          <w:u w:val="single"/>
          <w:lang w:val="en-US" w:eastAsia="zh-CN" w:bidi="ar"/>
        </w:rPr>
        <w:t>调度通信设备</w:t>
      </w:r>
      <w:r>
        <w:rPr>
          <w:rFonts w:hint="eastAsia" w:ascii="宋体" w:hAnsi="宋体" w:eastAsia="宋体" w:cs="宋体"/>
          <w:sz w:val="24"/>
          <w:szCs w:val="24"/>
          <w:u w:val="single"/>
          <w:lang w:val="en-US" w:eastAsia="zh-CN"/>
        </w:rPr>
        <w:t>采购项目</w:t>
      </w:r>
    </w:p>
    <w:tbl>
      <w:tblPr>
        <w:tblStyle w:val="15"/>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14"/>
        <w:gridCol w:w="1500"/>
        <w:gridCol w:w="1500"/>
        <w:gridCol w:w="1500"/>
        <w:gridCol w:w="239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人名称</w:t>
            </w:r>
          </w:p>
          <w:p w14:paraId="0418FAA1">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（单位全称）</w:t>
            </w:r>
          </w:p>
        </w:tc>
        <w:tc>
          <w:tcPr>
            <w:tcW w:w="772" w:type="pct"/>
            <w:vAlign w:val="center"/>
          </w:tcPr>
          <w:p w14:paraId="6A5BBF8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是否收到</w:t>
            </w:r>
          </w:p>
          <w:p w14:paraId="3C7B3A0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邀请书</w:t>
            </w:r>
          </w:p>
          <w:p w14:paraId="7AD8E85F">
            <w:pPr>
              <w:spacing w:line="276" w:lineRule="auto"/>
              <w:ind w:firstLine="0" w:firstLineChars="0"/>
              <w:jc w:val="center"/>
              <w:rPr>
                <w:rFonts w:hint="eastAsia" w:ascii="宋体" w:hAnsi="宋体" w:eastAsia="宋体" w:cs="宋体"/>
                <w:b/>
                <w:sz w:val="24"/>
                <w:szCs w:val="24"/>
                <w:u w:val="single"/>
              </w:rPr>
            </w:pPr>
            <w:r>
              <w:rPr>
                <w:rFonts w:hint="eastAsia" w:ascii="宋体" w:hAnsi="宋体" w:eastAsia="宋体" w:cs="宋体"/>
                <w:b/>
                <w:sz w:val="24"/>
                <w:szCs w:val="24"/>
                <w:u w:val="single"/>
              </w:rPr>
              <w:t>对应选项打“√”</w:t>
            </w:r>
          </w:p>
        </w:tc>
        <w:tc>
          <w:tcPr>
            <w:tcW w:w="772" w:type="pct"/>
            <w:vAlign w:val="center"/>
          </w:tcPr>
          <w:p w14:paraId="361CCEB2">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是否参与</w:t>
            </w:r>
          </w:p>
          <w:p w14:paraId="3941D5E0">
            <w:pPr>
              <w:spacing w:line="276"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本项目</w:t>
            </w:r>
            <w:r>
              <w:rPr>
                <w:rFonts w:hint="eastAsia" w:ascii="宋体" w:hAnsi="宋体" w:eastAsia="宋体" w:cs="宋体"/>
                <w:b/>
                <w:sz w:val="24"/>
                <w:szCs w:val="24"/>
                <w:lang w:eastAsia="zh-CN"/>
              </w:rPr>
              <w:t>报价</w:t>
            </w:r>
          </w:p>
          <w:p w14:paraId="1C1D5B8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u w:val="single"/>
              </w:rPr>
              <w:t>对应选项打“√”</w:t>
            </w:r>
          </w:p>
        </w:tc>
        <w:tc>
          <w:tcPr>
            <w:tcW w:w="772" w:type="pct"/>
            <w:vAlign w:val="center"/>
          </w:tcPr>
          <w:p w14:paraId="723204EB">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w:t>
            </w:r>
          </w:p>
          <w:p w14:paraId="7EABBEC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代表签字</w:t>
            </w:r>
          </w:p>
        </w:tc>
        <w:tc>
          <w:tcPr>
            <w:tcW w:w="1235" w:type="pct"/>
            <w:vAlign w:val="center"/>
          </w:tcPr>
          <w:p w14:paraId="29E67E67">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hint="eastAsia" w:ascii="宋体" w:hAnsi="宋体" w:eastAsia="宋体" w:cs="宋体"/>
                <w:sz w:val="24"/>
                <w:szCs w:val="24"/>
              </w:rPr>
            </w:pPr>
          </w:p>
        </w:tc>
        <w:tc>
          <w:tcPr>
            <w:tcW w:w="772" w:type="pct"/>
            <w:vAlign w:val="center"/>
          </w:tcPr>
          <w:p w14:paraId="3A525BAD">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28235763">
            <w:pPr>
              <w:spacing w:line="276" w:lineRule="auto"/>
              <w:ind w:firstLine="0" w:firstLineChars="0"/>
              <w:jc w:val="center"/>
              <w:rPr>
                <w:rFonts w:hint="eastAsia" w:ascii="宋体" w:hAnsi="宋体" w:eastAsia="宋体" w:cs="宋体"/>
                <w:sz w:val="24"/>
                <w:szCs w:val="24"/>
              </w:rPr>
            </w:pPr>
          </w:p>
          <w:p w14:paraId="1430303E">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33B3EF93">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1E05BE14">
            <w:pPr>
              <w:spacing w:line="276" w:lineRule="auto"/>
              <w:ind w:firstLine="0" w:firstLineChars="0"/>
              <w:jc w:val="center"/>
              <w:rPr>
                <w:rFonts w:hint="eastAsia" w:ascii="宋体" w:hAnsi="宋体" w:eastAsia="宋体" w:cs="宋体"/>
                <w:sz w:val="24"/>
                <w:szCs w:val="24"/>
              </w:rPr>
            </w:pPr>
          </w:p>
          <w:p w14:paraId="5B52424B">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65E042A0">
            <w:pPr>
              <w:spacing w:line="276" w:lineRule="auto"/>
              <w:ind w:firstLine="0" w:firstLineChars="0"/>
              <w:rPr>
                <w:rFonts w:hint="eastAsia" w:ascii="宋体" w:hAnsi="宋体" w:eastAsia="宋体" w:cs="宋体"/>
                <w:sz w:val="24"/>
                <w:szCs w:val="24"/>
              </w:rPr>
            </w:pPr>
          </w:p>
        </w:tc>
        <w:tc>
          <w:tcPr>
            <w:tcW w:w="1235" w:type="pct"/>
            <w:vAlign w:val="center"/>
          </w:tcPr>
          <w:p w14:paraId="4A8D4C95">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25FA2E93">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hint="eastAsia" w:ascii="宋体" w:hAnsi="宋体" w:eastAsia="宋体" w:cs="宋体"/>
                <w:sz w:val="24"/>
                <w:szCs w:val="24"/>
              </w:rPr>
            </w:pPr>
          </w:p>
          <w:p w14:paraId="57B0F4B7">
            <w:pPr>
              <w:spacing w:line="276" w:lineRule="auto"/>
              <w:ind w:firstLine="0" w:firstLineChars="0"/>
              <w:rPr>
                <w:rFonts w:hint="eastAsia" w:ascii="宋体" w:hAnsi="宋体" w:eastAsia="宋体" w:cs="宋体"/>
                <w:sz w:val="24"/>
                <w:szCs w:val="24"/>
              </w:rPr>
            </w:pPr>
          </w:p>
          <w:p w14:paraId="66494419">
            <w:pPr>
              <w:spacing w:line="276" w:lineRule="auto"/>
              <w:ind w:firstLine="0" w:firstLineChars="0"/>
              <w:rPr>
                <w:rFonts w:hint="eastAsia" w:ascii="宋体" w:hAnsi="宋体" w:eastAsia="宋体" w:cs="宋体"/>
                <w:sz w:val="24"/>
                <w:szCs w:val="24"/>
              </w:rPr>
            </w:pPr>
          </w:p>
          <w:p w14:paraId="22459A75">
            <w:pPr>
              <w:spacing w:line="276" w:lineRule="auto"/>
              <w:ind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人单位名称：</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（盖单位公章）</w:t>
            </w:r>
          </w:p>
          <w:p w14:paraId="719B4FF7">
            <w:pPr>
              <w:spacing w:line="276" w:lineRule="auto"/>
              <w:ind w:firstLine="0" w:firstLineChars="0"/>
              <w:rPr>
                <w:rFonts w:hint="eastAsia" w:ascii="宋体" w:hAnsi="宋体" w:eastAsia="宋体" w:cs="宋体"/>
                <w:sz w:val="24"/>
                <w:szCs w:val="24"/>
              </w:rPr>
            </w:pPr>
          </w:p>
          <w:p w14:paraId="70A4DF95">
            <w:pPr>
              <w:spacing w:line="276" w:lineRule="auto"/>
              <w:ind w:firstLine="0" w:firstLineChars="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65F6EF8C">
      <w:pPr>
        <w:spacing w:before="120" w:beforeLines="50"/>
        <w:ind w:left="-141" w:leftChars="-67" w:firstLine="0" w:firstLineChars="0"/>
        <w:jc w:val="left"/>
        <w:rPr>
          <w:rFonts w:hint="eastAsia" w:ascii="宋体" w:hAnsi="宋体" w:eastAsia="宋体" w:cs="宋体"/>
          <w:b/>
          <w:spacing w:val="-5"/>
          <w:sz w:val="24"/>
          <w:szCs w:val="24"/>
        </w:rPr>
      </w:pPr>
      <w:r>
        <w:rPr>
          <w:rFonts w:hint="eastAsia" w:ascii="宋体" w:hAnsi="宋体" w:eastAsia="宋体" w:cs="宋体"/>
          <w:sz w:val="24"/>
          <w:szCs w:val="24"/>
        </w:rPr>
        <w:t>★</w:t>
      </w:r>
      <w:r>
        <w:rPr>
          <w:rFonts w:hint="eastAsia" w:ascii="宋体" w:hAnsi="宋体" w:eastAsia="宋体" w:cs="宋体"/>
          <w:b/>
          <w:sz w:val="24"/>
          <w:szCs w:val="24"/>
        </w:rPr>
        <w:t>请各潜在</w:t>
      </w:r>
      <w:r>
        <w:rPr>
          <w:rFonts w:hint="eastAsia" w:ascii="宋体" w:hAnsi="宋体" w:eastAsia="宋体" w:cs="宋体"/>
          <w:b/>
          <w:sz w:val="24"/>
          <w:szCs w:val="24"/>
          <w:lang w:eastAsia="zh-CN"/>
        </w:rPr>
        <w:t>报价</w:t>
      </w:r>
      <w:r>
        <w:rPr>
          <w:rFonts w:hint="eastAsia" w:ascii="宋体" w:hAnsi="宋体" w:eastAsia="宋体" w:cs="宋体"/>
          <w:b/>
          <w:sz w:val="24"/>
          <w:szCs w:val="24"/>
        </w:rPr>
        <w:t>人在收到</w:t>
      </w:r>
      <w:r>
        <w:rPr>
          <w:rFonts w:hint="eastAsia" w:ascii="宋体" w:hAnsi="宋体" w:eastAsia="宋体" w:cs="宋体"/>
          <w:b/>
          <w:sz w:val="24"/>
          <w:szCs w:val="24"/>
          <w:lang w:eastAsia="zh-CN"/>
        </w:rPr>
        <w:t>询比价</w:t>
      </w:r>
      <w:r>
        <w:rPr>
          <w:rFonts w:hint="eastAsia" w:ascii="宋体" w:hAnsi="宋体" w:eastAsia="宋体" w:cs="宋体"/>
          <w:b/>
          <w:sz w:val="24"/>
          <w:szCs w:val="24"/>
        </w:rPr>
        <w:t>文件后（含</w:t>
      </w:r>
      <w:r>
        <w:rPr>
          <w:rFonts w:hint="eastAsia" w:ascii="宋体" w:hAnsi="宋体" w:eastAsia="宋体" w:cs="宋体"/>
          <w:b/>
          <w:sz w:val="24"/>
          <w:szCs w:val="24"/>
          <w:lang w:eastAsia="zh-CN"/>
        </w:rPr>
        <w:t>询比价</w:t>
      </w:r>
      <w:r>
        <w:rPr>
          <w:rFonts w:hint="eastAsia" w:ascii="宋体" w:hAnsi="宋体" w:eastAsia="宋体" w:cs="宋体"/>
          <w:b/>
          <w:sz w:val="24"/>
          <w:szCs w:val="24"/>
        </w:rPr>
        <w:t>邀请</w:t>
      </w:r>
      <w:r>
        <w:rPr>
          <w:rFonts w:hint="eastAsia" w:ascii="宋体" w:hAnsi="宋体" w:eastAsia="宋体" w:cs="宋体"/>
          <w:b/>
          <w:sz w:val="24"/>
          <w:szCs w:val="24"/>
          <w:lang w:eastAsia="zh-CN"/>
        </w:rPr>
        <w:t>函</w:t>
      </w:r>
      <w:r>
        <w:rPr>
          <w:rFonts w:hint="eastAsia" w:ascii="宋体" w:hAnsi="宋体" w:eastAsia="宋体" w:cs="宋体"/>
          <w:b/>
          <w:sz w:val="24"/>
          <w:szCs w:val="24"/>
        </w:rPr>
        <w:t>）及时（24小时内）在此确认回函上签字和盖章，并将扫描件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"mailto:回复邮件至996570470@qq.com" </w:instrText>
      </w:r>
      <w:r>
        <w:rPr>
          <w:rFonts w:hint="eastAsia" w:ascii="宋体" w:hAnsi="宋体" w:eastAsia="宋体" w:cs="宋体"/>
          <w:sz w:val="24"/>
          <w:szCs w:val="24"/>
        </w:rPr>
        <w:fldChar w:fldCharType="separate"/>
      </w:r>
      <w:r>
        <w:rPr>
          <w:rStyle w:val="19"/>
          <w:rFonts w:hint="eastAsia" w:ascii="宋体" w:hAnsi="宋体" w:eastAsia="宋体" w:cs="宋体"/>
          <w:b/>
          <w:spacing w:val="-5"/>
          <w:sz w:val="24"/>
          <w:szCs w:val="24"/>
        </w:rPr>
        <w:t>回复邮件至15368718425@163.com</w:t>
      </w:r>
      <w:r>
        <w:rPr>
          <w:rStyle w:val="19"/>
          <w:rFonts w:hint="eastAsia" w:ascii="宋体" w:hAnsi="宋体" w:eastAsia="宋体" w:cs="宋体"/>
          <w:b/>
          <w:spacing w:val="-5"/>
          <w:sz w:val="24"/>
          <w:szCs w:val="24"/>
        </w:rPr>
        <w:fldChar w:fldCharType="end"/>
      </w:r>
      <w:r>
        <w:rPr>
          <w:rFonts w:hint="eastAsia" w:ascii="宋体" w:hAnsi="宋体" w:eastAsia="宋体" w:cs="宋体"/>
          <w:b/>
          <w:spacing w:val="-5"/>
          <w:sz w:val="24"/>
          <w:szCs w:val="24"/>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3"/>
    </w:p>
    <w:p w14:paraId="29ED6F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25日到</w:t>
      </w:r>
      <w:r>
        <w:rPr>
          <w:rFonts w:hint="eastAsia" w:ascii="宋体" w:hAnsi="宋体" w:eastAsia="宋体" w:cs="宋体"/>
          <w:b w:val="0"/>
          <w:bCs w:val="0"/>
          <w:color w:val="auto"/>
          <w:kern w:val="2"/>
          <w:sz w:val="24"/>
          <w:szCs w:val="24"/>
          <w:highlight w:val="none"/>
          <w:lang w:val="en-US" w:eastAsia="zh-CN" w:bidi="ar-SA"/>
        </w:rPr>
        <w:t>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5A9EC3D1">
      <w:pPr>
        <w:pStyle w:val="3"/>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技术要求</w:t>
      </w:r>
    </w:p>
    <w:p w14:paraId="6017E5FA">
      <w:pPr>
        <w:ind w:firstLine="0" w:firstLineChars="0"/>
        <w:outlineLvl w:val="0"/>
        <w:rPr>
          <w:rFonts w:ascii="宋体" w:hAnsi="宋体"/>
          <w:b/>
          <w:color w:val="000000"/>
          <w:sz w:val="28"/>
          <w:szCs w:val="28"/>
        </w:rPr>
      </w:pPr>
      <w:bookmarkStart w:id="8" w:name="_Toc169078715"/>
      <w:bookmarkStart w:id="9" w:name="_Toc168649605"/>
      <w:bookmarkStart w:id="10" w:name="_Toc169077926"/>
      <w:r>
        <w:rPr>
          <w:rFonts w:hint="eastAsia" w:ascii="宋体" w:hAnsi="宋体"/>
          <w:b/>
          <w:color w:val="000000"/>
          <w:sz w:val="28"/>
          <w:szCs w:val="28"/>
        </w:rPr>
        <w:t>第一章 技术</w:t>
      </w:r>
      <w:bookmarkEnd w:id="8"/>
      <w:bookmarkEnd w:id="9"/>
      <w:bookmarkEnd w:id="10"/>
      <w:r>
        <w:rPr>
          <w:rFonts w:hint="eastAsia" w:ascii="宋体" w:hAnsi="宋体"/>
          <w:b/>
          <w:color w:val="000000"/>
          <w:sz w:val="28"/>
          <w:szCs w:val="28"/>
        </w:rPr>
        <w:t>协议</w:t>
      </w:r>
    </w:p>
    <w:p w14:paraId="6E92376E">
      <w:pPr>
        <w:ind w:firstLine="0" w:firstLineChars="0"/>
        <w:outlineLvl w:val="0"/>
        <w:rPr>
          <w:rFonts w:ascii="宋体" w:hAnsi="宋体"/>
          <w:b/>
          <w:color w:val="000000"/>
          <w:sz w:val="28"/>
          <w:szCs w:val="28"/>
        </w:rPr>
      </w:pPr>
      <w:bookmarkStart w:id="11" w:name="_Toc169078716"/>
      <w:bookmarkStart w:id="12" w:name="_Toc168144010"/>
      <w:bookmarkStart w:id="13" w:name="_Toc169077927"/>
      <w:bookmarkStart w:id="14" w:name="_Toc168144264"/>
      <w:bookmarkStart w:id="15" w:name="_Toc523909403"/>
      <w:r>
        <w:rPr>
          <w:rFonts w:hint="eastAsia" w:ascii="宋体" w:hAnsi="宋体"/>
          <w:b/>
          <w:color w:val="000000"/>
          <w:sz w:val="28"/>
          <w:szCs w:val="28"/>
        </w:rPr>
        <w:t>1 总则</w:t>
      </w:r>
      <w:bookmarkEnd w:id="11"/>
      <w:bookmarkEnd w:id="12"/>
      <w:bookmarkEnd w:id="13"/>
      <w:bookmarkEnd w:id="14"/>
      <w:bookmarkEnd w:id="15"/>
    </w:p>
    <w:p w14:paraId="59D2EBFD">
      <w:pPr>
        <w:ind w:left="1" w:firstLine="564" w:firstLineChars="235"/>
        <w:rPr>
          <w:rFonts w:ascii="宋体" w:hAnsi="宋体"/>
          <w:color w:val="000000"/>
          <w:sz w:val="24"/>
        </w:rPr>
      </w:pPr>
      <w:r>
        <w:rPr>
          <w:rFonts w:hint="eastAsia" w:ascii="宋体" w:hAnsi="宋体"/>
          <w:color w:val="000000"/>
          <w:sz w:val="24"/>
        </w:rPr>
        <w:t>1.1本技术协议书适用于</w:t>
      </w:r>
      <w:r>
        <w:rPr>
          <w:rFonts w:hint="eastAsia" w:ascii="宋体" w:hAnsi="宋体"/>
          <w:b/>
          <w:sz w:val="24"/>
          <w:szCs w:val="24"/>
          <w:u w:val="single"/>
        </w:rPr>
        <w:t>高粱冲光伏发电项目的</w:t>
      </w:r>
      <w:r>
        <w:rPr>
          <w:rFonts w:hint="eastAsia" w:ascii="宋体" w:hAnsi="宋体"/>
          <w:b/>
          <w:color w:val="000000"/>
          <w:sz w:val="24"/>
          <w:szCs w:val="24"/>
          <w:u w:val="single"/>
        </w:rPr>
        <w:t>并网支持系统</w:t>
      </w:r>
      <w:r>
        <w:rPr>
          <w:rFonts w:hint="eastAsia" w:ascii="宋体" w:hAnsi="宋体"/>
          <w:color w:val="000000"/>
          <w:sz w:val="24"/>
        </w:rPr>
        <w:t>的选型和采购，提出了该设备的功能设计、结构、性能、安装、试验等方面的技术要求。</w:t>
      </w:r>
    </w:p>
    <w:p w14:paraId="638945AA">
      <w:pPr>
        <w:ind w:firstLine="564" w:firstLineChars="235"/>
        <w:rPr>
          <w:rFonts w:ascii="宋体" w:hAnsi="宋体"/>
          <w:color w:val="000000"/>
          <w:sz w:val="24"/>
        </w:rPr>
      </w:pPr>
      <w:r>
        <w:rPr>
          <w:rFonts w:hint="eastAsia" w:ascii="宋体" w:hAnsi="宋体"/>
          <w:color w:val="000000"/>
          <w:sz w:val="24"/>
        </w:rPr>
        <w:t>1.2本技术协议书</w:t>
      </w:r>
      <w:r>
        <w:rPr>
          <w:rFonts w:ascii="宋体" w:hAnsi="宋体"/>
          <w:color w:val="000000"/>
          <w:sz w:val="24"/>
        </w:rPr>
        <w:t>提出了最低限度的技术要求，并未规定所有的技术要求和适用的标准，卖家应提供一套满足本技术协议书和所列标准要求的高质量产品及其相应服务。对国家有关安全、环保等强制性标准，必须满足其要求。</w:t>
      </w:r>
    </w:p>
    <w:p w14:paraId="09E597EE">
      <w:pPr>
        <w:ind w:firstLine="564" w:firstLineChars="235"/>
        <w:rPr>
          <w:rFonts w:ascii="宋体" w:hAnsi="宋体"/>
          <w:color w:val="000000"/>
          <w:sz w:val="24"/>
        </w:rPr>
      </w:pPr>
      <w:r>
        <w:rPr>
          <w:rFonts w:hint="eastAsia" w:ascii="宋体" w:hAnsi="宋体"/>
          <w:color w:val="000000"/>
          <w:sz w:val="24"/>
        </w:rPr>
        <w:t>1.3在招投标过程中，卖家若对本技术协议书某条款有特别的建议、方案、技术特点或差异，可在该条款下加以描述和说明。如有差异（无论多少）</w:t>
      </w:r>
      <w:r>
        <w:rPr>
          <w:rFonts w:ascii="宋体" w:hAnsi="宋体"/>
          <w:color w:val="000000"/>
          <w:sz w:val="24"/>
        </w:rPr>
        <w:t>，</w:t>
      </w:r>
      <w:r>
        <w:rPr>
          <w:rFonts w:hint="eastAsia" w:ascii="宋体" w:hAnsi="宋体"/>
          <w:color w:val="000000"/>
          <w:sz w:val="24"/>
        </w:rPr>
        <w:t>均应填写到本技术协议书的差异表中。如卖家没有对本技术协议书的要求提出书面异议(或差异)，买家则认为卖家完全接受和同意本技术协议书的要求。</w:t>
      </w:r>
    </w:p>
    <w:p w14:paraId="763F55F4">
      <w:pPr>
        <w:ind w:firstLine="564" w:firstLineChars="235"/>
        <w:rPr>
          <w:rFonts w:ascii="宋体" w:hAnsi="宋体"/>
          <w:color w:val="000000"/>
          <w:sz w:val="24"/>
        </w:rPr>
      </w:pPr>
      <w:r>
        <w:rPr>
          <w:rFonts w:hint="eastAsia" w:ascii="宋体" w:hAnsi="宋体"/>
          <w:color w:val="000000"/>
          <w:sz w:val="24"/>
        </w:rPr>
        <w:t>1.4</w:t>
      </w:r>
      <w:r>
        <w:rPr>
          <w:rFonts w:ascii="宋体" w:hAnsi="宋体"/>
          <w:color w:val="000000"/>
          <w:sz w:val="24"/>
        </w:rPr>
        <w:t>卖家应执行本技术协议书所列标准，有不一致时，按较高标准执行。卖家在设备设计和制造中所涉及的各项规程、规范和标准必须遵循现行最新标准版本。合同签订后2个</w:t>
      </w:r>
      <w:r>
        <w:rPr>
          <w:rFonts w:hint="eastAsia" w:ascii="宋体" w:hAnsi="宋体"/>
          <w:color w:val="000000"/>
          <w:sz w:val="24"/>
        </w:rPr>
        <w:t>周</w:t>
      </w:r>
      <w:r>
        <w:rPr>
          <w:rFonts w:ascii="宋体" w:hAnsi="宋体"/>
          <w:color w:val="000000"/>
          <w:sz w:val="24"/>
        </w:rPr>
        <w:t>，卖家应按本规范的要求，提出合同设备的设计、制造、检验、试验、装配、安装、调试、试运、验收、运行和维护等标准清单给买家确认。</w:t>
      </w:r>
    </w:p>
    <w:p w14:paraId="0C960884">
      <w:pPr>
        <w:ind w:firstLine="564" w:firstLineChars="235"/>
        <w:rPr>
          <w:rFonts w:ascii="宋体" w:hAnsi="宋体"/>
          <w:color w:val="000000"/>
          <w:sz w:val="24"/>
        </w:rPr>
      </w:pPr>
      <w:r>
        <w:rPr>
          <w:rFonts w:hint="eastAsia" w:ascii="宋体" w:hAnsi="宋体"/>
          <w:color w:val="000000"/>
          <w:sz w:val="24"/>
        </w:rPr>
        <w:t>1.5 本技术协议书经买家、卖家双方确认后作为合同的技术附件，与合同正文具有同等的法律效力。</w:t>
      </w:r>
    </w:p>
    <w:p w14:paraId="0EE1245F">
      <w:pPr>
        <w:ind w:firstLine="564" w:firstLineChars="235"/>
        <w:rPr>
          <w:rFonts w:ascii="宋体" w:hAnsi="宋体"/>
          <w:color w:val="000000"/>
          <w:sz w:val="24"/>
        </w:rPr>
      </w:pPr>
      <w:r>
        <w:rPr>
          <w:rFonts w:hint="eastAsia" w:ascii="宋体" w:hAnsi="宋体"/>
          <w:color w:val="000000"/>
          <w:sz w:val="24"/>
        </w:rPr>
        <w:t>1.6如果本技术协议书的描述存在矛盾或不一致之处，或技术部分和商务部分在供货范围的描述存在矛盾或不一致之处，或</w:t>
      </w:r>
      <w:r>
        <w:rPr>
          <w:rFonts w:ascii="宋体" w:hAnsi="宋体"/>
          <w:color w:val="000000"/>
          <w:sz w:val="24"/>
        </w:rPr>
        <w:t>卖家所提供的投标文件前后有不一致的地方，应以更有利于设备安装运行、工程质量为原则，由</w:t>
      </w:r>
      <w:r>
        <w:rPr>
          <w:rFonts w:hint="eastAsia" w:ascii="宋体" w:hAnsi="宋体"/>
          <w:color w:val="000000"/>
          <w:sz w:val="24"/>
        </w:rPr>
        <w:t>买家</w:t>
      </w:r>
      <w:r>
        <w:rPr>
          <w:rFonts w:ascii="宋体" w:hAnsi="宋体"/>
          <w:color w:val="000000"/>
          <w:sz w:val="24"/>
        </w:rPr>
        <w:t>确定</w:t>
      </w:r>
      <w:r>
        <w:rPr>
          <w:rFonts w:hint="eastAsia" w:ascii="宋体" w:hAnsi="宋体"/>
          <w:color w:val="000000"/>
          <w:sz w:val="24"/>
        </w:rPr>
        <w:t>执行原则</w:t>
      </w:r>
      <w:r>
        <w:rPr>
          <w:rFonts w:ascii="宋体" w:hAnsi="宋体"/>
          <w:color w:val="000000"/>
          <w:sz w:val="24"/>
        </w:rPr>
        <w:t>。</w:t>
      </w:r>
    </w:p>
    <w:p w14:paraId="36F83EC8">
      <w:pPr>
        <w:ind w:firstLine="564" w:firstLineChars="235"/>
        <w:rPr>
          <w:rFonts w:ascii="宋体" w:hAnsi="宋体"/>
          <w:color w:val="000000"/>
          <w:sz w:val="24"/>
        </w:rPr>
      </w:pPr>
      <w:r>
        <w:rPr>
          <w:rFonts w:hint="eastAsia" w:ascii="宋体" w:hAnsi="宋体"/>
          <w:color w:val="000000"/>
          <w:sz w:val="24"/>
        </w:rPr>
        <w:t>1.7</w:t>
      </w:r>
      <w:r>
        <w:rPr>
          <w:rFonts w:ascii="宋体" w:hAnsi="宋体"/>
          <w:color w:val="000000"/>
          <w:sz w:val="24"/>
        </w:rPr>
        <w:t>卖家对供货范围内的成套系统设备（含辅助系统及设备、附件等）负有全责，即包括分包（或对外采购）的产品。分包（或对外采购）的主要产品制造商应征得</w:t>
      </w:r>
      <w:r>
        <w:rPr>
          <w:rFonts w:hint="eastAsia" w:ascii="宋体" w:hAnsi="宋体"/>
          <w:color w:val="000000"/>
          <w:sz w:val="24"/>
        </w:rPr>
        <w:t>买家</w:t>
      </w:r>
      <w:r>
        <w:rPr>
          <w:rFonts w:ascii="宋体" w:hAnsi="宋体"/>
          <w:color w:val="000000"/>
          <w:sz w:val="24"/>
        </w:rPr>
        <w:t>的认可。</w:t>
      </w:r>
    </w:p>
    <w:p w14:paraId="36BC30B4">
      <w:pPr>
        <w:ind w:firstLine="564" w:firstLineChars="235"/>
        <w:rPr>
          <w:rFonts w:ascii="宋体" w:hAnsi="宋体"/>
          <w:color w:val="000000"/>
          <w:sz w:val="24"/>
        </w:rPr>
      </w:pPr>
      <w:r>
        <w:rPr>
          <w:rFonts w:hint="eastAsia" w:ascii="宋体" w:hAnsi="宋体"/>
          <w:color w:val="000000"/>
          <w:sz w:val="24"/>
        </w:rPr>
        <w:t>1.</w:t>
      </w:r>
      <w:r>
        <w:rPr>
          <w:rFonts w:ascii="宋体" w:hAnsi="宋体"/>
          <w:color w:val="000000"/>
          <w:sz w:val="24"/>
        </w:rPr>
        <w:t>8</w:t>
      </w:r>
      <w:r>
        <w:rPr>
          <w:rFonts w:hint="eastAsia" w:ascii="宋体" w:hAnsi="宋体"/>
          <w:color w:val="000000"/>
          <w:sz w:val="24"/>
        </w:rPr>
        <w:t>设备采用的专利涉及到的全部费用均被认为已包含在设备报价中，卖家保证买家不承担有关设备专利的一切责任，且设备合同价不变。</w:t>
      </w:r>
    </w:p>
    <w:p w14:paraId="3EC94222">
      <w:pPr>
        <w:ind w:firstLine="564" w:firstLineChars="235"/>
        <w:rPr>
          <w:rFonts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卖家应提供高质量的设备。这些设备应是成熟可靠、技术先进的产品。卖家提供的所有软、硬件产品均应是该品牌供货时的主流配置，本工程不使用已过时（即将淘汰）及试验性的产品。</w:t>
      </w:r>
    </w:p>
    <w:p w14:paraId="0473234E">
      <w:pPr>
        <w:ind w:firstLine="564" w:firstLineChars="235"/>
        <w:rPr>
          <w:rFonts w:ascii="宋体" w:hAnsi="宋体"/>
          <w:color w:val="000000"/>
          <w:sz w:val="24"/>
        </w:rPr>
      </w:pPr>
      <w:r>
        <w:rPr>
          <w:rFonts w:hint="eastAsia" w:ascii="宋体" w:hAnsi="宋体"/>
          <w:color w:val="000000"/>
          <w:sz w:val="24"/>
        </w:rPr>
        <w:t>1.</w:t>
      </w:r>
      <w:r>
        <w:rPr>
          <w:rFonts w:ascii="宋体" w:hAnsi="宋体"/>
          <w:color w:val="000000"/>
          <w:sz w:val="24"/>
        </w:rPr>
        <w:t>10</w:t>
      </w:r>
      <w:r>
        <w:rPr>
          <w:rFonts w:hint="eastAsia" w:ascii="宋体" w:hAnsi="宋体"/>
          <w:color w:val="000000"/>
          <w:sz w:val="24"/>
        </w:rPr>
        <w:t>买家有权提出因规范标准和规程发生变化而产生的一些补充要求，具体项目由供需双方共同商定。当参数发生变化时而补充的变化要求，本设备合同价不变。</w:t>
      </w:r>
    </w:p>
    <w:p w14:paraId="6251FAC6">
      <w:pPr>
        <w:ind w:firstLine="0" w:firstLineChars="0"/>
        <w:outlineLvl w:val="0"/>
        <w:rPr>
          <w:rFonts w:ascii="宋体" w:hAnsi="宋体"/>
          <w:b/>
          <w:color w:val="000000"/>
          <w:sz w:val="28"/>
          <w:szCs w:val="28"/>
        </w:rPr>
      </w:pPr>
      <w:bookmarkStart w:id="16" w:name="_Toc169078717"/>
      <w:bookmarkStart w:id="17" w:name="_Toc169077928"/>
      <w:bookmarkStart w:id="18" w:name="_Toc168649607"/>
      <w:r>
        <w:rPr>
          <w:rFonts w:hint="eastAsia" w:ascii="宋体" w:hAnsi="宋体"/>
          <w:b/>
          <w:color w:val="000000"/>
          <w:sz w:val="28"/>
          <w:szCs w:val="28"/>
        </w:rPr>
        <w:t xml:space="preserve">2 </w:t>
      </w:r>
      <w:r>
        <w:rPr>
          <w:rFonts w:ascii="宋体" w:hAnsi="宋体"/>
          <w:b/>
          <w:color w:val="000000"/>
          <w:sz w:val="28"/>
          <w:szCs w:val="28"/>
        </w:rPr>
        <w:t>工程概况</w:t>
      </w:r>
      <w:bookmarkEnd w:id="16"/>
      <w:bookmarkEnd w:id="17"/>
      <w:bookmarkEnd w:id="18"/>
    </w:p>
    <w:p w14:paraId="1B1F5834">
      <w:pPr>
        <w:spacing w:after="62"/>
        <w:ind w:firstLine="420"/>
        <w:rPr>
          <w:rFonts w:ascii="宋体" w:hAnsi="宋体" w:cs="Arial"/>
        </w:rPr>
      </w:pPr>
      <w:r>
        <w:rPr>
          <w:rFonts w:hint="eastAsia" w:ascii="宋体" w:hAnsi="宋体" w:cs="Arial"/>
        </w:rPr>
        <w:t>梁冲光伏电站位于云南省玉溪市新平县扬武镇大开门社区高梁冲小组，场址在高梁冲背后的山坡上，地理坐标东经 102°7′9.42″～ 102°8′29.45″、北纬 23°58′52.44″～ 23°58′21.99″之间，场址高程在1199m～1434m之间，开关站自然标高在1240m~1255m。污秽等级E级，海拔高度1500米。</w:t>
      </w:r>
    </w:p>
    <w:p w14:paraId="579473FD">
      <w:pPr>
        <w:spacing w:after="62"/>
        <w:ind w:firstLine="420"/>
        <w:rPr>
          <w:color w:val="000000"/>
          <w:kern w:val="0"/>
        </w:rPr>
      </w:pPr>
      <w:r>
        <w:rPr>
          <w:rFonts w:hint="eastAsia" w:ascii="宋体" w:hAnsi="宋体" w:cs="Arial"/>
        </w:rPr>
        <w:t>本工程新建一座35kV开关站，并以35kV电压等级送出。采用一级升压方式，即0.8kV→35kV。35kV采用户内金属铠装手车式高压开关柜，规划采用单母线分段接线，本期采用单母线分段接线，本期共2个集电进线柜、1个站变柜、2个母线PT柜、2个出线柜、1个分段柜、1个联络柜。根据接入系统报告开关站暂不设置无功补偿装置。35kV系统采用消弧线圈并小电阻的接地方式由鲁奎山项目升压站统一配置。</w:t>
      </w:r>
    </w:p>
    <w:p w14:paraId="4C61A643">
      <w:pPr>
        <w:ind w:firstLine="0" w:firstLineChars="0"/>
        <w:outlineLvl w:val="0"/>
        <w:rPr>
          <w:rFonts w:ascii="宋体" w:hAnsi="宋体"/>
          <w:b/>
          <w:color w:val="000000"/>
          <w:sz w:val="28"/>
          <w:szCs w:val="28"/>
        </w:rPr>
      </w:pPr>
      <w:bookmarkStart w:id="19" w:name="_Toc169078718"/>
      <w:bookmarkStart w:id="20" w:name="_Toc168649610"/>
      <w:bookmarkStart w:id="21" w:name="_Toc169077929"/>
      <w:r>
        <w:rPr>
          <w:rFonts w:hint="eastAsia" w:ascii="宋体" w:hAnsi="宋体"/>
          <w:b/>
          <w:color w:val="000000"/>
          <w:sz w:val="28"/>
          <w:szCs w:val="28"/>
        </w:rPr>
        <w:t>3 标准和规范</w:t>
      </w:r>
      <w:bookmarkEnd w:id="19"/>
      <w:bookmarkEnd w:id="20"/>
      <w:bookmarkEnd w:id="21"/>
    </w:p>
    <w:p w14:paraId="77E9819F">
      <w:pPr>
        <w:spacing w:after="62" w:afterLines="20"/>
        <w:rPr>
          <w:rFonts w:ascii="宋体" w:hAnsi="宋体" w:cs="Arial"/>
          <w:sz w:val="24"/>
        </w:rPr>
      </w:pPr>
      <w:r>
        <w:rPr>
          <w:rFonts w:hint="eastAsia" w:ascii="宋体" w:hAnsi="宋体" w:cs="Arial"/>
          <w:sz w:val="24"/>
        </w:rPr>
        <w:t>本工程所有设备、备品备件，包括卖家从第三方获得的所有附件和设备，除本协议中规定的技术参数和要求外，其余均应遵照最新版本的电力行业标准（DL）、国家标准（GB）和IEC标准及国际单位制（SI），这是对设备的最低要求。卖家如果采用自己的标准或规范，必须向买家提供中文复印件并经买家同意后方可采用，但不能低于最新的DL、GB和IEC的有关规定。</w:t>
      </w:r>
    </w:p>
    <w:p w14:paraId="4990D4CE">
      <w:pPr>
        <w:spacing w:after="62" w:afterLines="20"/>
        <w:rPr>
          <w:rFonts w:ascii="宋体" w:hAnsi="宋体" w:cs="Arial"/>
          <w:sz w:val="24"/>
        </w:rPr>
      </w:pPr>
      <w:r>
        <w:rPr>
          <w:rFonts w:ascii="宋体" w:hAnsi="宋体" w:cs="Arial"/>
          <w:sz w:val="24"/>
        </w:rPr>
        <w:t>所有螺栓、双头螺栓、螺纹、管螺纹、螺栓夹及螺母均应遵守国际标准化组织（ISO）和国际单位制（SI）的标准。</w:t>
      </w:r>
    </w:p>
    <w:p w14:paraId="73224932">
      <w:pPr>
        <w:ind w:firstLine="564" w:firstLineChars="235"/>
        <w:rPr>
          <w:rFonts w:ascii="宋体" w:hAnsi="宋体"/>
          <w:color w:val="000000"/>
          <w:sz w:val="24"/>
        </w:rPr>
      </w:pPr>
      <w:r>
        <w:rPr>
          <w:rFonts w:hint="eastAsia" w:ascii="宋体" w:hAnsi="宋体"/>
          <w:color w:val="000000"/>
          <w:sz w:val="24"/>
        </w:rPr>
        <w:t>卖家提供的设备及附属设备应满足下列规范和标准的要求，但不局限于以下标准，以下标准应执行最新版本，当标准不一致时按高标准执行。</w:t>
      </w:r>
    </w:p>
    <w:p w14:paraId="709063B2">
      <w:pPr>
        <w:snapToGrid w:val="0"/>
        <w:spacing w:line="440" w:lineRule="exact"/>
        <w:rPr>
          <w:sz w:val="24"/>
        </w:rPr>
      </w:pPr>
    </w:p>
    <w:tbl>
      <w:tblPr>
        <w:tblStyle w:val="15"/>
        <w:tblW w:w="86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39"/>
        <w:gridCol w:w="6208"/>
      </w:tblGrid>
      <w:tr w14:paraId="17C0C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2439" w:type="dxa"/>
            <w:vAlign w:val="center"/>
          </w:tcPr>
          <w:p w14:paraId="74B4A11E">
            <w:pPr>
              <w:topLinePunct/>
              <w:snapToGrid w:val="0"/>
              <w:spacing w:before="40" w:after="40" w:line="240" w:lineRule="auto"/>
              <w:ind w:firstLine="0" w:firstLineChars="0"/>
              <w:jc w:val="center"/>
              <w:rPr>
                <w:rFonts w:ascii="宋体" w:hAnsi="宋体"/>
                <w:sz w:val="24"/>
              </w:rPr>
            </w:pPr>
            <w:r>
              <w:rPr>
                <w:rFonts w:ascii="宋体" w:hAnsi="宋体"/>
                <w:sz w:val="24"/>
              </w:rPr>
              <w:t>标准号</w:t>
            </w:r>
          </w:p>
        </w:tc>
        <w:tc>
          <w:tcPr>
            <w:tcW w:w="6208" w:type="dxa"/>
            <w:vAlign w:val="center"/>
          </w:tcPr>
          <w:p w14:paraId="26DC6CEC">
            <w:pPr>
              <w:topLinePunct/>
              <w:snapToGrid w:val="0"/>
              <w:spacing w:before="40" w:after="40" w:line="240" w:lineRule="auto"/>
              <w:ind w:firstLine="0" w:firstLineChars="0"/>
              <w:jc w:val="center"/>
              <w:rPr>
                <w:rFonts w:ascii="宋体" w:hAnsi="宋体"/>
                <w:sz w:val="24"/>
              </w:rPr>
            </w:pPr>
            <w:r>
              <w:rPr>
                <w:rFonts w:ascii="宋体" w:hAnsi="宋体"/>
                <w:sz w:val="24"/>
              </w:rPr>
              <w:t>标准名称</w:t>
            </w:r>
          </w:p>
        </w:tc>
      </w:tr>
      <w:tr w14:paraId="5CA59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661218D9">
            <w:pPr>
              <w:topLinePunct/>
              <w:snapToGrid w:val="0"/>
              <w:spacing w:before="50" w:after="50" w:line="240" w:lineRule="auto"/>
              <w:ind w:firstLine="0" w:firstLineChars="0"/>
              <w:jc w:val="center"/>
              <w:rPr>
                <w:rFonts w:ascii="宋体" w:hAnsi="宋体"/>
                <w:sz w:val="24"/>
              </w:rPr>
            </w:pPr>
            <w:r>
              <w:rPr>
                <w:rFonts w:hint="eastAsia" w:ascii="宋体" w:hAnsi="宋体"/>
                <w:sz w:val="24"/>
              </w:rPr>
              <w:t>DL 451</w:t>
            </w:r>
          </w:p>
        </w:tc>
        <w:tc>
          <w:tcPr>
            <w:tcW w:w="6208" w:type="dxa"/>
          </w:tcPr>
          <w:p w14:paraId="052C6DA4">
            <w:pPr>
              <w:topLinePunct/>
              <w:snapToGrid w:val="0"/>
              <w:spacing w:before="50" w:after="50" w:line="240" w:lineRule="auto"/>
              <w:ind w:firstLine="0" w:firstLineChars="0"/>
              <w:jc w:val="both"/>
              <w:rPr>
                <w:rFonts w:ascii="宋体" w:hAnsi="宋体"/>
                <w:sz w:val="24"/>
              </w:rPr>
            </w:pPr>
            <w:r>
              <w:rPr>
                <w:rFonts w:hint="eastAsia" w:ascii="宋体" w:hAnsi="宋体"/>
                <w:sz w:val="24"/>
              </w:rPr>
              <w:t>循环式远动规约</w:t>
            </w:r>
          </w:p>
        </w:tc>
      </w:tr>
      <w:tr w14:paraId="1CF43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5762B8CB">
            <w:pPr>
              <w:topLinePunct/>
              <w:snapToGrid w:val="0"/>
              <w:spacing w:before="50" w:after="50" w:line="240" w:lineRule="auto"/>
              <w:ind w:firstLine="0" w:firstLineChars="0"/>
              <w:jc w:val="center"/>
              <w:rPr>
                <w:rFonts w:ascii="宋体" w:hAnsi="宋体"/>
                <w:sz w:val="24"/>
              </w:rPr>
            </w:pPr>
            <w:r>
              <w:rPr>
                <w:rFonts w:hint="eastAsia" w:ascii="宋体" w:hAnsi="宋体"/>
                <w:sz w:val="24"/>
              </w:rPr>
              <w:t>GB/T 2887</w:t>
            </w:r>
          </w:p>
        </w:tc>
        <w:tc>
          <w:tcPr>
            <w:tcW w:w="6208" w:type="dxa"/>
            <w:vAlign w:val="center"/>
          </w:tcPr>
          <w:p w14:paraId="6118FA97">
            <w:pPr>
              <w:topLinePunct/>
              <w:snapToGrid w:val="0"/>
              <w:spacing w:before="50" w:after="50" w:line="240" w:lineRule="auto"/>
              <w:ind w:firstLine="0" w:firstLineChars="0"/>
              <w:jc w:val="both"/>
              <w:rPr>
                <w:rFonts w:ascii="宋体" w:hAnsi="宋体"/>
                <w:sz w:val="24"/>
              </w:rPr>
            </w:pPr>
            <w:r>
              <w:rPr>
                <w:rFonts w:hint="eastAsia" w:ascii="宋体" w:hAnsi="宋体"/>
                <w:sz w:val="24"/>
              </w:rPr>
              <w:t>电子计算机场地通用规范</w:t>
            </w:r>
          </w:p>
        </w:tc>
      </w:tr>
      <w:tr w14:paraId="43A77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3DDBB9DC">
            <w:pPr>
              <w:topLinePunct/>
              <w:snapToGrid w:val="0"/>
              <w:spacing w:before="92" w:after="92" w:line="240" w:lineRule="auto"/>
              <w:ind w:firstLine="0" w:firstLineChars="0"/>
              <w:jc w:val="center"/>
              <w:rPr>
                <w:rFonts w:ascii="宋体" w:hAnsi="宋体"/>
                <w:sz w:val="24"/>
              </w:rPr>
            </w:pPr>
            <w:r>
              <w:rPr>
                <w:rFonts w:hint="eastAsia" w:ascii="宋体" w:hAnsi="宋体"/>
                <w:sz w:val="24"/>
              </w:rPr>
              <w:t>GB/T 13729</w:t>
            </w:r>
          </w:p>
        </w:tc>
        <w:tc>
          <w:tcPr>
            <w:tcW w:w="6208" w:type="dxa"/>
            <w:vAlign w:val="center"/>
          </w:tcPr>
          <w:p w14:paraId="2FB941F0">
            <w:pPr>
              <w:topLinePunct/>
              <w:snapToGrid w:val="0"/>
              <w:spacing w:before="92" w:after="92" w:line="240" w:lineRule="auto"/>
              <w:ind w:firstLine="0" w:firstLineChars="0"/>
              <w:jc w:val="both"/>
              <w:rPr>
                <w:rFonts w:ascii="宋体" w:hAnsi="宋体"/>
                <w:sz w:val="24"/>
              </w:rPr>
            </w:pPr>
            <w:r>
              <w:rPr>
                <w:rFonts w:hint="eastAsia" w:ascii="宋体" w:hAnsi="宋体"/>
                <w:sz w:val="24"/>
              </w:rPr>
              <w:t>远动终端设备</w:t>
            </w:r>
          </w:p>
        </w:tc>
      </w:tr>
      <w:tr w14:paraId="11285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01204B5A">
            <w:pPr>
              <w:topLinePunct/>
              <w:snapToGrid w:val="0"/>
              <w:spacing w:before="92" w:after="92" w:line="240" w:lineRule="auto"/>
              <w:ind w:firstLine="0" w:firstLineChars="0"/>
              <w:jc w:val="center"/>
              <w:rPr>
                <w:rFonts w:ascii="宋体" w:hAnsi="宋体"/>
                <w:sz w:val="24"/>
              </w:rPr>
            </w:pPr>
            <w:r>
              <w:rPr>
                <w:rFonts w:hint="eastAsia" w:ascii="宋体" w:hAnsi="宋体"/>
                <w:sz w:val="24"/>
              </w:rPr>
              <w:t>GB/T 13730</w:t>
            </w:r>
          </w:p>
        </w:tc>
        <w:tc>
          <w:tcPr>
            <w:tcW w:w="6208" w:type="dxa"/>
            <w:vAlign w:val="center"/>
          </w:tcPr>
          <w:p w14:paraId="4BC15D3F">
            <w:pPr>
              <w:topLinePunct/>
              <w:snapToGrid w:val="0"/>
              <w:spacing w:before="92" w:after="92" w:line="240" w:lineRule="auto"/>
              <w:ind w:firstLine="0" w:firstLineChars="0"/>
              <w:jc w:val="both"/>
              <w:rPr>
                <w:rFonts w:ascii="宋体" w:hAnsi="宋体"/>
                <w:sz w:val="24"/>
              </w:rPr>
            </w:pPr>
            <w:r>
              <w:rPr>
                <w:rFonts w:hint="eastAsia" w:ascii="宋体" w:hAnsi="宋体"/>
                <w:sz w:val="24"/>
              </w:rPr>
              <w:t>地区电网调度自动化系统</w:t>
            </w:r>
          </w:p>
        </w:tc>
      </w:tr>
      <w:tr w14:paraId="38BBF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3F576DAB">
            <w:pPr>
              <w:topLinePunct/>
              <w:snapToGrid w:val="0"/>
              <w:spacing w:before="92" w:after="92" w:line="240" w:lineRule="auto"/>
              <w:ind w:firstLine="0" w:firstLineChars="0"/>
              <w:jc w:val="center"/>
              <w:rPr>
                <w:rFonts w:ascii="宋体" w:hAnsi="宋体"/>
                <w:sz w:val="24"/>
              </w:rPr>
            </w:pPr>
            <w:r>
              <w:rPr>
                <w:rFonts w:hint="eastAsia" w:ascii="宋体" w:hAnsi="宋体"/>
                <w:sz w:val="24"/>
              </w:rPr>
              <w:t>GB/T 15153</w:t>
            </w:r>
          </w:p>
        </w:tc>
        <w:tc>
          <w:tcPr>
            <w:tcW w:w="6208" w:type="dxa"/>
            <w:vAlign w:val="center"/>
          </w:tcPr>
          <w:p w14:paraId="791D31DC">
            <w:pPr>
              <w:topLinePunct/>
              <w:snapToGrid w:val="0"/>
              <w:spacing w:before="92" w:after="92" w:line="240" w:lineRule="auto"/>
              <w:ind w:firstLine="0" w:firstLineChars="0"/>
              <w:jc w:val="both"/>
              <w:rPr>
                <w:rFonts w:ascii="宋体" w:hAnsi="宋体"/>
                <w:sz w:val="24"/>
              </w:rPr>
            </w:pPr>
            <w:r>
              <w:rPr>
                <w:rFonts w:hint="eastAsia" w:ascii="宋体" w:hAnsi="宋体"/>
                <w:sz w:val="24"/>
              </w:rPr>
              <w:t>远动设备及系统　第2部分：工作条件</w:t>
            </w:r>
          </w:p>
        </w:tc>
      </w:tr>
      <w:tr w14:paraId="49FE68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5B296462">
            <w:pPr>
              <w:topLinePunct/>
              <w:snapToGrid w:val="0"/>
              <w:spacing w:before="92" w:after="92" w:line="240" w:lineRule="auto"/>
              <w:ind w:firstLine="0" w:firstLineChars="0"/>
              <w:jc w:val="center"/>
              <w:rPr>
                <w:rFonts w:ascii="宋体" w:hAnsi="宋体"/>
                <w:sz w:val="24"/>
              </w:rPr>
            </w:pPr>
            <w:r>
              <w:rPr>
                <w:rFonts w:hint="eastAsia" w:ascii="宋体" w:hAnsi="宋体"/>
                <w:sz w:val="24"/>
              </w:rPr>
              <w:t>GB/T 117463</w:t>
            </w:r>
          </w:p>
        </w:tc>
        <w:tc>
          <w:tcPr>
            <w:tcW w:w="6208" w:type="dxa"/>
            <w:vAlign w:val="center"/>
          </w:tcPr>
          <w:p w14:paraId="6470BEE5">
            <w:pPr>
              <w:topLinePunct/>
              <w:snapToGrid w:val="0"/>
              <w:spacing w:before="92" w:after="92" w:line="240" w:lineRule="auto"/>
              <w:ind w:firstLine="0" w:firstLineChars="0"/>
              <w:jc w:val="both"/>
              <w:rPr>
                <w:rFonts w:ascii="宋体" w:hAnsi="宋体"/>
                <w:sz w:val="24"/>
              </w:rPr>
            </w:pPr>
            <w:r>
              <w:rPr>
                <w:rFonts w:hint="eastAsia" w:ascii="宋体" w:hAnsi="宋体"/>
                <w:sz w:val="24"/>
              </w:rPr>
              <w:t>远动设备及系统　第4部分：性能要求</w:t>
            </w:r>
          </w:p>
        </w:tc>
      </w:tr>
      <w:tr w14:paraId="3AABD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541CD7B1">
            <w:pPr>
              <w:topLinePunct/>
              <w:snapToGrid w:val="0"/>
              <w:spacing w:before="92" w:after="92" w:line="240" w:lineRule="auto"/>
              <w:ind w:firstLine="0" w:firstLineChars="0"/>
              <w:jc w:val="center"/>
              <w:rPr>
                <w:rFonts w:ascii="宋体" w:hAnsi="宋体"/>
                <w:sz w:val="24"/>
              </w:rPr>
            </w:pPr>
            <w:r>
              <w:rPr>
                <w:rFonts w:hint="eastAsia" w:ascii="宋体" w:hAnsi="宋体"/>
                <w:sz w:val="24"/>
              </w:rPr>
              <w:t xml:space="preserve"> GB/T 16435.1</w:t>
            </w:r>
          </w:p>
        </w:tc>
        <w:tc>
          <w:tcPr>
            <w:tcW w:w="6208" w:type="dxa"/>
            <w:vAlign w:val="center"/>
          </w:tcPr>
          <w:p w14:paraId="2476C609">
            <w:pPr>
              <w:topLinePunct/>
              <w:snapToGrid w:val="0"/>
              <w:spacing w:before="92" w:after="92" w:line="240" w:lineRule="auto"/>
              <w:ind w:firstLine="0" w:firstLineChars="0"/>
              <w:jc w:val="both"/>
              <w:rPr>
                <w:rFonts w:ascii="宋体" w:hAnsi="宋体"/>
                <w:sz w:val="24"/>
              </w:rPr>
            </w:pPr>
            <w:r>
              <w:rPr>
                <w:rFonts w:hint="eastAsia" w:ascii="宋体" w:hAnsi="宋体"/>
                <w:sz w:val="24"/>
              </w:rPr>
              <w:t>远动设备及系统　接口（电气特性）</w:t>
            </w:r>
          </w:p>
        </w:tc>
      </w:tr>
      <w:tr w14:paraId="72872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3043B77C">
            <w:pPr>
              <w:topLinePunct/>
              <w:snapToGrid w:val="0"/>
              <w:spacing w:before="92" w:after="92" w:line="240" w:lineRule="auto"/>
              <w:ind w:firstLine="0" w:firstLineChars="0"/>
              <w:jc w:val="center"/>
              <w:rPr>
                <w:rFonts w:ascii="宋体" w:hAnsi="宋体"/>
                <w:sz w:val="24"/>
              </w:rPr>
            </w:pPr>
            <w:r>
              <w:rPr>
                <w:rFonts w:hint="eastAsia" w:ascii="宋体" w:hAnsi="宋体"/>
                <w:sz w:val="24"/>
              </w:rPr>
              <w:t xml:space="preserve"> DL/T 630</w:t>
            </w:r>
          </w:p>
        </w:tc>
        <w:tc>
          <w:tcPr>
            <w:tcW w:w="6208" w:type="dxa"/>
            <w:vAlign w:val="center"/>
          </w:tcPr>
          <w:p w14:paraId="578EC790">
            <w:pPr>
              <w:topLinePunct/>
              <w:snapToGrid w:val="0"/>
              <w:spacing w:before="92" w:after="92" w:line="240" w:lineRule="auto"/>
              <w:ind w:firstLine="0" w:firstLineChars="0"/>
              <w:jc w:val="both"/>
              <w:rPr>
                <w:rFonts w:ascii="宋体" w:hAnsi="宋体"/>
                <w:sz w:val="24"/>
              </w:rPr>
            </w:pPr>
            <w:r>
              <w:rPr>
                <w:rFonts w:hint="eastAsia" w:ascii="宋体" w:hAnsi="宋体"/>
                <w:sz w:val="24"/>
              </w:rPr>
              <w:t>交流采样远动终端技术条件</w:t>
            </w:r>
          </w:p>
        </w:tc>
      </w:tr>
      <w:tr w14:paraId="47558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32B2D511">
            <w:pPr>
              <w:topLinePunct/>
              <w:snapToGrid w:val="0"/>
              <w:spacing w:before="92" w:after="92" w:line="240" w:lineRule="auto"/>
              <w:ind w:firstLine="0" w:firstLineChars="0"/>
              <w:jc w:val="center"/>
              <w:rPr>
                <w:rFonts w:ascii="宋体" w:hAnsi="宋体"/>
                <w:sz w:val="24"/>
              </w:rPr>
            </w:pPr>
            <w:r>
              <w:rPr>
                <w:rFonts w:hint="eastAsia" w:ascii="宋体" w:hAnsi="宋体"/>
                <w:sz w:val="24"/>
              </w:rPr>
              <w:t xml:space="preserve"> DL</w:t>
            </w:r>
            <w:r>
              <w:rPr>
                <w:rFonts w:ascii="宋体" w:hAnsi="宋体"/>
                <w:sz w:val="24"/>
              </w:rPr>
              <w:t xml:space="preserve">/T </w:t>
            </w:r>
            <w:r>
              <w:rPr>
                <w:rFonts w:hint="eastAsia" w:ascii="宋体" w:hAnsi="宋体"/>
                <w:sz w:val="24"/>
              </w:rPr>
              <w:t>634</w:t>
            </w:r>
            <w:r>
              <w:rPr>
                <w:rFonts w:ascii="宋体" w:hAnsi="宋体"/>
                <w:sz w:val="24"/>
              </w:rPr>
              <w:t>.</w:t>
            </w:r>
            <w:r>
              <w:rPr>
                <w:rFonts w:hint="eastAsia" w:ascii="宋体" w:hAnsi="宋体"/>
                <w:sz w:val="24"/>
              </w:rPr>
              <w:t>5101</w:t>
            </w:r>
          </w:p>
        </w:tc>
        <w:tc>
          <w:tcPr>
            <w:tcW w:w="6208" w:type="dxa"/>
            <w:vAlign w:val="center"/>
          </w:tcPr>
          <w:p w14:paraId="52523F54">
            <w:pPr>
              <w:topLinePunct/>
              <w:snapToGrid w:val="0"/>
              <w:spacing w:before="92" w:after="92" w:line="240" w:lineRule="auto"/>
              <w:ind w:firstLine="0" w:firstLineChars="0"/>
              <w:jc w:val="both"/>
              <w:rPr>
                <w:rFonts w:ascii="宋体" w:hAnsi="宋体"/>
                <w:sz w:val="24"/>
              </w:rPr>
            </w:pPr>
            <w:r>
              <w:rPr>
                <w:rFonts w:hint="eastAsia" w:ascii="宋体" w:hAnsi="宋体"/>
                <w:sz w:val="24"/>
              </w:rPr>
              <w:t>远动设备及系统　第5部分　传输规约　第101篇　基本远动任务配套标准</w:t>
            </w:r>
          </w:p>
        </w:tc>
      </w:tr>
      <w:tr w14:paraId="2E8BA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16F5654F">
            <w:pPr>
              <w:topLinePunct/>
              <w:snapToGrid w:val="0"/>
              <w:spacing w:before="92" w:after="92" w:line="240" w:lineRule="auto"/>
              <w:ind w:firstLine="0" w:firstLineChars="0"/>
              <w:jc w:val="center"/>
              <w:rPr>
                <w:rFonts w:ascii="宋体" w:hAnsi="宋体"/>
                <w:sz w:val="24"/>
              </w:rPr>
            </w:pPr>
            <w:r>
              <w:rPr>
                <w:rFonts w:hint="eastAsia" w:ascii="宋体" w:hAnsi="宋体"/>
                <w:sz w:val="24"/>
              </w:rPr>
              <w:t xml:space="preserve"> DL/T 719</w:t>
            </w:r>
          </w:p>
        </w:tc>
        <w:tc>
          <w:tcPr>
            <w:tcW w:w="6208" w:type="dxa"/>
            <w:vAlign w:val="center"/>
          </w:tcPr>
          <w:p w14:paraId="420CF668">
            <w:pPr>
              <w:topLinePunct/>
              <w:snapToGrid w:val="0"/>
              <w:spacing w:before="92" w:after="92" w:line="240" w:lineRule="auto"/>
              <w:ind w:firstLine="0" w:firstLineChars="0"/>
              <w:jc w:val="both"/>
              <w:rPr>
                <w:rFonts w:ascii="宋体" w:hAnsi="宋体"/>
                <w:spacing w:val="-4"/>
                <w:sz w:val="24"/>
              </w:rPr>
            </w:pPr>
            <w:r>
              <w:rPr>
                <w:rFonts w:hint="eastAsia" w:ascii="宋体" w:hAnsi="宋体"/>
                <w:spacing w:val="-4"/>
                <w:sz w:val="24"/>
              </w:rPr>
              <w:t>远动设备及系统　第5部分　传输规约　第102篇　电力系统电能量累积传输配套标准</w:t>
            </w:r>
          </w:p>
        </w:tc>
      </w:tr>
      <w:tr w14:paraId="23EBBA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439" w:type="dxa"/>
            <w:vAlign w:val="center"/>
          </w:tcPr>
          <w:p w14:paraId="3FA69877">
            <w:pPr>
              <w:topLinePunct/>
              <w:snapToGrid w:val="0"/>
              <w:spacing w:before="92" w:after="92" w:line="240" w:lineRule="auto"/>
              <w:ind w:firstLine="0" w:firstLineChars="0"/>
              <w:jc w:val="center"/>
              <w:rPr>
                <w:rFonts w:ascii="宋体" w:hAnsi="宋体"/>
                <w:sz w:val="24"/>
              </w:rPr>
            </w:pPr>
            <w:r>
              <w:rPr>
                <w:rFonts w:hint="eastAsia" w:ascii="宋体" w:hAnsi="宋体"/>
                <w:sz w:val="24"/>
              </w:rPr>
              <w:t xml:space="preserve"> DL/T 667</w:t>
            </w:r>
          </w:p>
        </w:tc>
        <w:tc>
          <w:tcPr>
            <w:tcW w:w="6208" w:type="dxa"/>
            <w:vAlign w:val="center"/>
          </w:tcPr>
          <w:p w14:paraId="20B24970">
            <w:pPr>
              <w:topLinePunct/>
              <w:snapToGrid w:val="0"/>
              <w:spacing w:before="92" w:after="92" w:line="240" w:lineRule="auto"/>
              <w:ind w:firstLine="0" w:firstLineChars="0"/>
              <w:jc w:val="both"/>
              <w:rPr>
                <w:rFonts w:ascii="宋体" w:hAnsi="宋体"/>
                <w:sz w:val="24"/>
              </w:rPr>
            </w:pPr>
            <w:r>
              <w:rPr>
                <w:rFonts w:hint="eastAsia" w:ascii="宋体" w:hAnsi="宋体"/>
                <w:sz w:val="24"/>
              </w:rPr>
              <w:t>远动设备及系统　第5部分　传输规约　第103篇　继电保护设备信息接口配套标准</w:t>
            </w:r>
          </w:p>
        </w:tc>
      </w:tr>
      <w:tr w14:paraId="374BD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14:paraId="54F1FB1D">
            <w:pPr>
              <w:topLinePunct/>
              <w:snapToGrid w:val="0"/>
              <w:spacing w:before="92" w:after="92" w:line="240" w:lineRule="auto"/>
              <w:ind w:firstLine="0" w:firstLineChars="0"/>
              <w:jc w:val="center"/>
              <w:rPr>
                <w:rFonts w:ascii="宋体" w:hAnsi="宋体"/>
                <w:sz w:val="24"/>
              </w:rPr>
            </w:pPr>
            <w:r>
              <w:rPr>
                <w:rFonts w:hint="eastAsia" w:ascii="宋体" w:hAnsi="宋体"/>
                <w:sz w:val="24"/>
              </w:rPr>
              <w:t>DL/T 860</w:t>
            </w:r>
          </w:p>
        </w:tc>
        <w:tc>
          <w:tcPr>
            <w:tcW w:w="6208" w:type="dxa"/>
            <w:vAlign w:val="center"/>
          </w:tcPr>
          <w:p w14:paraId="14228DBD">
            <w:pPr>
              <w:topLinePunct/>
              <w:snapToGrid w:val="0"/>
              <w:spacing w:before="92" w:after="92" w:line="240" w:lineRule="auto"/>
              <w:ind w:firstLine="0" w:firstLineChars="0"/>
              <w:jc w:val="both"/>
              <w:rPr>
                <w:rFonts w:ascii="宋体" w:hAnsi="宋体"/>
                <w:sz w:val="24"/>
              </w:rPr>
            </w:pPr>
            <w:r>
              <w:rPr>
                <w:rFonts w:hint="eastAsia" w:ascii="宋体" w:hAnsi="宋体"/>
                <w:sz w:val="24"/>
              </w:rPr>
              <w:t>变电站通信网络和系统</w:t>
            </w:r>
          </w:p>
        </w:tc>
      </w:tr>
      <w:tr w14:paraId="40F13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14:paraId="7BD6B34C">
            <w:pPr>
              <w:topLinePunct/>
              <w:snapToGrid w:val="0"/>
              <w:spacing w:before="92" w:after="92" w:line="240" w:lineRule="auto"/>
              <w:ind w:firstLine="0" w:firstLineChars="0"/>
              <w:jc w:val="center"/>
              <w:rPr>
                <w:rFonts w:ascii="宋体" w:hAnsi="宋体"/>
                <w:sz w:val="24"/>
              </w:rPr>
            </w:pPr>
            <w:r>
              <w:rPr>
                <w:rFonts w:hint="eastAsia" w:ascii="宋体" w:hAnsi="宋体"/>
                <w:sz w:val="24"/>
              </w:rPr>
              <w:t xml:space="preserve"> DL</w:t>
            </w:r>
            <w:r>
              <w:rPr>
                <w:rFonts w:ascii="宋体" w:hAnsi="宋体"/>
                <w:sz w:val="24"/>
              </w:rPr>
              <w:t xml:space="preserve">/T </w:t>
            </w:r>
            <w:r>
              <w:rPr>
                <w:rFonts w:hint="eastAsia" w:ascii="宋体" w:hAnsi="宋体"/>
                <w:sz w:val="24"/>
              </w:rPr>
              <w:t>634</w:t>
            </w:r>
            <w:r>
              <w:rPr>
                <w:rFonts w:ascii="宋体" w:hAnsi="宋体"/>
                <w:sz w:val="24"/>
              </w:rPr>
              <w:t>.</w:t>
            </w:r>
            <w:r>
              <w:rPr>
                <w:rFonts w:hint="eastAsia" w:ascii="宋体" w:hAnsi="宋体"/>
                <w:sz w:val="24"/>
              </w:rPr>
              <w:t>5104</w:t>
            </w:r>
          </w:p>
        </w:tc>
        <w:tc>
          <w:tcPr>
            <w:tcW w:w="6208" w:type="dxa"/>
            <w:vAlign w:val="center"/>
          </w:tcPr>
          <w:p w14:paraId="3B7CB5B2">
            <w:pPr>
              <w:topLinePunct/>
              <w:snapToGrid w:val="0"/>
              <w:spacing w:before="92" w:after="92" w:line="240" w:lineRule="auto"/>
              <w:ind w:firstLine="0" w:firstLineChars="0"/>
              <w:jc w:val="both"/>
              <w:rPr>
                <w:rFonts w:ascii="宋体" w:hAnsi="宋体"/>
                <w:sz w:val="24"/>
              </w:rPr>
            </w:pPr>
            <w:r>
              <w:rPr>
                <w:rFonts w:ascii="宋体" w:hAnsi="宋体"/>
                <w:sz w:val="24"/>
              </w:rPr>
              <w:t>远动设备及系统</w:t>
            </w:r>
            <w:r>
              <w:rPr>
                <w:rFonts w:hint="eastAsia" w:ascii="宋体" w:hAnsi="宋体"/>
                <w:sz w:val="24"/>
              </w:rPr>
              <w:t>　</w:t>
            </w:r>
            <w:r>
              <w:rPr>
                <w:rFonts w:ascii="宋体" w:hAnsi="宋体"/>
                <w:sz w:val="24"/>
              </w:rPr>
              <w:t>第5104部分传输规约采用标准传输规范子集</w:t>
            </w:r>
            <w:r>
              <w:rPr>
                <w:rFonts w:hint="eastAsia" w:ascii="宋体" w:hAnsi="宋体"/>
                <w:sz w:val="24"/>
              </w:rPr>
              <w:t>的</w:t>
            </w:r>
            <w:r>
              <w:rPr>
                <w:rFonts w:ascii="宋体" w:hAnsi="宋体"/>
                <w:sz w:val="24"/>
              </w:rPr>
              <w:t>IEC60870510</w:t>
            </w:r>
            <w:r>
              <w:rPr>
                <w:rFonts w:hint="eastAsia" w:ascii="宋体" w:hAnsi="宋体"/>
                <w:sz w:val="24"/>
              </w:rPr>
              <w:t>4</w:t>
            </w:r>
            <w:r>
              <w:rPr>
                <w:rFonts w:ascii="宋体" w:hAnsi="宋体"/>
                <w:sz w:val="24"/>
              </w:rPr>
              <w:t>网络访问</w:t>
            </w:r>
          </w:p>
        </w:tc>
      </w:tr>
      <w:tr w14:paraId="10A3F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14:paraId="7166B74F">
            <w:pPr>
              <w:topLinePunct/>
              <w:snapToGrid w:val="0"/>
              <w:spacing w:before="92" w:after="92" w:line="240" w:lineRule="auto"/>
              <w:ind w:firstLine="0" w:firstLineChars="0"/>
              <w:jc w:val="center"/>
              <w:rPr>
                <w:rFonts w:ascii="宋体" w:hAnsi="宋体"/>
                <w:sz w:val="24"/>
              </w:rPr>
            </w:pPr>
            <w:r>
              <w:rPr>
                <w:rFonts w:hint="eastAsia" w:ascii="宋体" w:hAnsi="宋体"/>
                <w:sz w:val="24"/>
              </w:rPr>
              <w:t xml:space="preserve"> DL/T 5002</w:t>
            </w:r>
          </w:p>
        </w:tc>
        <w:tc>
          <w:tcPr>
            <w:tcW w:w="6208" w:type="dxa"/>
            <w:vAlign w:val="center"/>
          </w:tcPr>
          <w:p w14:paraId="4E044F04">
            <w:pPr>
              <w:topLinePunct/>
              <w:snapToGrid w:val="0"/>
              <w:spacing w:before="92" w:after="92" w:line="240" w:lineRule="auto"/>
              <w:ind w:firstLine="0" w:firstLineChars="0"/>
              <w:jc w:val="both"/>
              <w:rPr>
                <w:rFonts w:ascii="宋体" w:hAnsi="宋体"/>
                <w:sz w:val="24"/>
              </w:rPr>
            </w:pPr>
            <w:r>
              <w:rPr>
                <w:rFonts w:hint="eastAsia" w:ascii="宋体" w:hAnsi="宋体"/>
                <w:sz w:val="24"/>
              </w:rPr>
              <w:t>地区电网调度自动化设计技术规程</w:t>
            </w:r>
          </w:p>
        </w:tc>
      </w:tr>
      <w:tr w14:paraId="7AD0F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14:paraId="7D7911CB">
            <w:pPr>
              <w:topLinePunct/>
              <w:snapToGrid w:val="0"/>
              <w:spacing w:before="64" w:after="64" w:line="240" w:lineRule="auto"/>
              <w:ind w:firstLine="0" w:firstLineChars="0"/>
              <w:jc w:val="center"/>
              <w:rPr>
                <w:rFonts w:ascii="宋体" w:hAnsi="宋体"/>
                <w:sz w:val="24"/>
              </w:rPr>
            </w:pPr>
            <w:r>
              <w:rPr>
                <w:rFonts w:hint="eastAsia" w:ascii="宋体" w:hAnsi="宋体"/>
                <w:sz w:val="24"/>
              </w:rPr>
              <w:t xml:space="preserve"> DL/T 5003</w:t>
            </w:r>
          </w:p>
        </w:tc>
        <w:tc>
          <w:tcPr>
            <w:tcW w:w="6208" w:type="dxa"/>
            <w:vAlign w:val="center"/>
          </w:tcPr>
          <w:p w14:paraId="68EE4460">
            <w:pPr>
              <w:topLinePunct/>
              <w:snapToGrid w:val="0"/>
              <w:spacing w:before="64" w:after="64" w:line="240" w:lineRule="auto"/>
              <w:ind w:firstLine="0" w:firstLineChars="0"/>
              <w:jc w:val="both"/>
              <w:rPr>
                <w:rFonts w:ascii="宋体" w:hAnsi="宋体"/>
                <w:sz w:val="24"/>
              </w:rPr>
            </w:pPr>
            <w:r>
              <w:rPr>
                <w:rFonts w:hint="eastAsia" w:ascii="宋体" w:hAnsi="宋体"/>
                <w:sz w:val="24"/>
              </w:rPr>
              <w:t>电力系统调度自动化设计技术规程</w:t>
            </w:r>
          </w:p>
        </w:tc>
      </w:tr>
      <w:tr w14:paraId="2347A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14:paraId="136950AE">
            <w:pPr>
              <w:topLinePunct/>
              <w:snapToGrid w:val="0"/>
              <w:spacing w:before="64" w:after="64" w:line="240" w:lineRule="auto"/>
              <w:ind w:firstLine="0" w:firstLineChars="0"/>
              <w:jc w:val="both"/>
              <w:rPr>
                <w:rFonts w:ascii="宋体" w:hAnsi="宋体"/>
                <w:sz w:val="24"/>
              </w:rPr>
            </w:pPr>
            <w:r>
              <w:rPr>
                <w:rFonts w:ascii="宋体" w:hAnsi="宋体"/>
                <w:sz w:val="24"/>
              </w:rPr>
              <w:t>电监安全[2006]34号</w:t>
            </w:r>
          </w:p>
        </w:tc>
        <w:tc>
          <w:tcPr>
            <w:tcW w:w="6208" w:type="dxa"/>
            <w:vAlign w:val="center"/>
          </w:tcPr>
          <w:p w14:paraId="7FD61066">
            <w:pPr>
              <w:topLinePunct/>
              <w:snapToGrid w:val="0"/>
              <w:spacing w:before="64" w:after="64" w:line="240" w:lineRule="auto"/>
              <w:ind w:firstLine="0" w:firstLineChars="0"/>
              <w:jc w:val="both"/>
              <w:rPr>
                <w:rFonts w:ascii="宋体" w:hAnsi="宋体"/>
                <w:sz w:val="24"/>
              </w:rPr>
            </w:pPr>
            <w:r>
              <w:rPr>
                <w:rFonts w:ascii="宋体" w:hAnsi="宋体"/>
                <w:sz w:val="24"/>
              </w:rPr>
              <w:t>《电力二次系统安全防护总体方案》</w:t>
            </w:r>
          </w:p>
        </w:tc>
      </w:tr>
      <w:tr w14:paraId="6563D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14:paraId="7C581DA5">
            <w:pPr>
              <w:widowControl/>
              <w:spacing w:line="240" w:lineRule="auto"/>
              <w:rPr>
                <w:rFonts w:ascii="宋体" w:hAnsi="宋体"/>
                <w:sz w:val="24"/>
              </w:rPr>
            </w:pPr>
            <w:r>
              <w:rPr>
                <w:rFonts w:hint="eastAsia" w:ascii="宋体" w:hAnsi="宋体" w:cs="宋体"/>
                <w:color w:val="000000"/>
                <w:sz w:val="24"/>
              </w:rPr>
              <w:t>南方电网</w:t>
            </w:r>
          </w:p>
        </w:tc>
        <w:tc>
          <w:tcPr>
            <w:tcW w:w="6208" w:type="dxa"/>
            <w:vAlign w:val="center"/>
          </w:tcPr>
          <w:p w14:paraId="3A50AB30">
            <w:pPr>
              <w:widowControl/>
              <w:spacing w:line="240" w:lineRule="auto"/>
              <w:rPr>
                <w:rFonts w:ascii="宋体" w:hAnsi="宋体"/>
                <w:sz w:val="24"/>
              </w:rPr>
            </w:pPr>
            <w:r>
              <w:rPr>
                <w:rFonts w:hint="eastAsia" w:ascii="宋体" w:hAnsi="宋体" w:cs="宋体"/>
                <w:color w:val="000000"/>
                <w:sz w:val="24"/>
              </w:rPr>
              <w:t>南方电网反事故措施（最新版）</w:t>
            </w:r>
          </w:p>
        </w:tc>
      </w:tr>
      <w:tr w14:paraId="5869F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vAlign w:val="center"/>
          </w:tcPr>
          <w:p w14:paraId="470CBAA9">
            <w:pPr>
              <w:topLinePunct/>
              <w:snapToGrid w:val="0"/>
              <w:spacing w:before="64" w:after="64"/>
              <w:ind w:firstLine="0" w:firstLineChars="0"/>
              <w:jc w:val="center"/>
              <w:rPr>
                <w:rFonts w:ascii="宋体" w:hAnsi="宋体"/>
                <w:sz w:val="24"/>
              </w:rPr>
            </w:pPr>
            <w:r>
              <w:rPr>
                <w:rFonts w:hint="eastAsia" w:ascii="宋体" w:hAnsi="宋体" w:cs="宋体"/>
                <w:color w:val="000000"/>
                <w:sz w:val="24"/>
              </w:rPr>
              <w:t>国家能源局</w:t>
            </w:r>
          </w:p>
        </w:tc>
        <w:tc>
          <w:tcPr>
            <w:tcW w:w="6208" w:type="dxa"/>
            <w:vAlign w:val="center"/>
          </w:tcPr>
          <w:p w14:paraId="2DAC44CE">
            <w:pPr>
              <w:topLinePunct/>
              <w:snapToGrid w:val="0"/>
              <w:spacing w:before="64" w:after="64"/>
              <w:ind w:firstLine="0" w:firstLineChars="0"/>
              <w:rPr>
                <w:rFonts w:ascii="宋体" w:hAnsi="宋体"/>
                <w:sz w:val="24"/>
              </w:rPr>
            </w:pPr>
            <w:r>
              <w:rPr>
                <w:rFonts w:hint="eastAsia" w:ascii="宋体" w:hAnsi="宋体"/>
                <w:sz w:val="24"/>
              </w:rPr>
              <w:t>防止电力生产事故的二十五项重点要求（2023版）</w:t>
            </w:r>
          </w:p>
        </w:tc>
      </w:tr>
    </w:tbl>
    <w:p w14:paraId="045E0AF7">
      <w:pPr>
        <w:ind w:firstLine="0" w:firstLineChars="0"/>
        <w:rPr>
          <w:rFonts w:ascii="宋体" w:hAnsi="宋体"/>
          <w:b/>
          <w:color w:val="000000"/>
          <w:sz w:val="28"/>
          <w:szCs w:val="28"/>
        </w:rPr>
      </w:pPr>
    </w:p>
    <w:p w14:paraId="3754D1CF">
      <w:pPr>
        <w:ind w:firstLine="0" w:firstLineChars="0"/>
        <w:outlineLvl w:val="0"/>
        <w:rPr>
          <w:rFonts w:ascii="宋体" w:hAnsi="宋体"/>
          <w:b/>
          <w:color w:val="000000"/>
          <w:sz w:val="28"/>
          <w:szCs w:val="28"/>
        </w:rPr>
      </w:pPr>
      <w:bookmarkStart w:id="22" w:name="_Toc169078719"/>
      <w:r>
        <w:rPr>
          <w:rFonts w:hint="eastAsia" w:ascii="宋体" w:hAnsi="宋体"/>
          <w:b/>
          <w:color w:val="000000"/>
          <w:sz w:val="28"/>
          <w:szCs w:val="28"/>
        </w:rPr>
        <w:t>4 技术参数</w:t>
      </w:r>
      <w:bookmarkEnd w:id="22"/>
    </w:p>
    <w:p w14:paraId="4D65E90A">
      <w:pPr>
        <w:pStyle w:val="5"/>
        <w:ind w:firstLine="480"/>
        <w:rPr>
          <w:rFonts w:ascii="宋体" w:hAnsi="宋体" w:cs="宋体"/>
        </w:rPr>
      </w:pPr>
      <w:r>
        <w:rPr>
          <w:rFonts w:hint="eastAsia" w:ascii="宋体" w:hAnsi="宋体" w:cs="宋体"/>
        </w:rPr>
        <w:t>路由器用于建立与调度端的通信路由，并进行业务划分（目前划分为两类：实时业务，目前主要是远动及功率控制信息等，非实时业务，目前主要是电量信息、故障录波的信息等）；交换机用于业务接入，本工程需要传送的实时数据和非实时数据，需分别通过各自的交换机接入数据网。</w:t>
      </w:r>
    </w:p>
    <w:p w14:paraId="3DF004CF">
      <w:pPr>
        <w:snapToGrid w:val="0"/>
        <w:ind w:firstLine="0" w:firstLineChars="0"/>
        <w:jc w:val="both"/>
        <w:outlineLvl w:val="1"/>
        <w:rPr>
          <w:rFonts w:ascii="宋体" w:hAnsi="宋体" w:cs="宋体"/>
          <w:b/>
          <w:color w:val="000000"/>
          <w:sz w:val="24"/>
        </w:rPr>
      </w:pPr>
      <w:bookmarkStart w:id="23" w:name="_Toc169078720"/>
      <w:r>
        <w:rPr>
          <w:rFonts w:hint="eastAsia" w:ascii="宋体" w:hAnsi="宋体" w:cs="宋体"/>
          <w:b/>
          <w:color w:val="000000"/>
          <w:sz w:val="24"/>
        </w:rPr>
        <w:t>4</w:t>
      </w:r>
      <w:r>
        <w:rPr>
          <w:rFonts w:ascii="宋体" w:hAnsi="宋体" w:cs="宋体"/>
          <w:b/>
          <w:color w:val="000000"/>
          <w:sz w:val="24"/>
        </w:rPr>
        <w:t>.1 网络技术要求</w:t>
      </w:r>
      <w:bookmarkEnd w:id="23"/>
    </w:p>
    <w:p w14:paraId="4AB6D3EE">
      <w:pPr>
        <w:topLinePunct/>
        <w:adjustRightInd w:val="0"/>
        <w:snapToGrid w:val="0"/>
        <w:rPr>
          <w:rFonts w:ascii="宋体" w:hAnsi="宋体"/>
          <w:kern w:val="0"/>
          <w:sz w:val="24"/>
        </w:rPr>
      </w:pPr>
      <w:r>
        <w:rPr>
          <w:rFonts w:ascii="宋体" w:hAnsi="宋体"/>
          <w:kern w:val="0"/>
          <w:sz w:val="24"/>
        </w:rPr>
        <w:t>1）网络的最大忙时，端到端时延，要求＜150ms；</w:t>
      </w:r>
    </w:p>
    <w:p w14:paraId="2FCB09B1">
      <w:pPr>
        <w:topLinePunct/>
        <w:adjustRightInd w:val="0"/>
        <w:snapToGrid w:val="0"/>
        <w:rPr>
          <w:rFonts w:ascii="宋体" w:hAnsi="宋体"/>
          <w:kern w:val="0"/>
          <w:sz w:val="24"/>
        </w:rPr>
      </w:pPr>
      <w:r>
        <w:rPr>
          <w:rFonts w:ascii="宋体" w:hAnsi="宋体"/>
          <w:kern w:val="0"/>
          <w:sz w:val="24"/>
        </w:rPr>
        <w:t>2）网络的最大忙时，端到端抖动，要求＜50ms；</w:t>
      </w:r>
    </w:p>
    <w:p w14:paraId="2613E1E0">
      <w:pPr>
        <w:topLinePunct/>
        <w:adjustRightInd w:val="0"/>
        <w:snapToGrid w:val="0"/>
        <w:rPr>
          <w:rFonts w:ascii="宋体" w:hAnsi="宋体"/>
          <w:kern w:val="0"/>
          <w:sz w:val="24"/>
        </w:rPr>
      </w:pPr>
      <w:r>
        <w:rPr>
          <w:rFonts w:ascii="宋体" w:hAnsi="宋体"/>
          <w:kern w:val="0"/>
          <w:sz w:val="24"/>
        </w:rPr>
        <w:t>3）网络的最大忙时，端到端丢包率（标准包长，网络负载70％），要求＜10</w:t>
      </w:r>
      <w:r>
        <w:rPr>
          <w:rFonts w:ascii="宋体" w:hAnsi="宋体"/>
          <w:kern w:val="0"/>
          <w:sz w:val="24"/>
          <w:vertAlign w:val="superscript"/>
        </w:rPr>
        <w:t>3</w:t>
      </w:r>
      <w:r>
        <w:rPr>
          <w:rFonts w:ascii="宋体" w:hAnsi="宋体"/>
          <w:kern w:val="0"/>
          <w:sz w:val="24"/>
        </w:rPr>
        <w:t>；</w:t>
      </w:r>
    </w:p>
    <w:p w14:paraId="0F355226">
      <w:pPr>
        <w:topLinePunct/>
        <w:adjustRightInd w:val="0"/>
        <w:snapToGrid w:val="0"/>
        <w:rPr>
          <w:rFonts w:ascii="宋体" w:hAnsi="宋体"/>
          <w:kern w:val="0"/>
          <w:sz w:val="24"/>
        </w:rPr>
      </w:pPr>
      <w:r>
        <w:rPr>
          <w:rFonts w:ascii="宋体" w:hAnsi="宋体"/>
          <w:kern w:val="0"/>
          <w:sz w:val="24"/>
        </w:rPr>
        <w:t>4）全网路由的收敛与恢复速度，要求＜40s（hello时间间隔为10s时）；</w:t>
      </w:r>
    </w:p>
    <w:p w14:paraId="22A56720">
      <w:pPr>
        <w:topLinePunct/>
        <w:adjustRightInd w:val="0"/>
        <w:snapToGrid w:val="0"/>
        <w:rPr>
          <w:rFonts w:ascii="宋体" w:hAnsi="宋体"/>
          <w:kern w:val="0"/>
          <w:sz w:val="24"/>
        </w:rPr>
      </w:pPr>
      <w:r>
        <w:rPr>
          <w:rFonts w:ascii="宋体" w:hAnsi="宋体"/>
          <w:kern w:val="0"/>
          <w:sz w:val="24"/>
        </w:rPr>
        <w:t>5）网络的可用率要求不小于99.99％。</w:t>
      </w:r>
    </w:p>
    <w:p w14:paraId="1EE04C94">
      <w:pPr>
        <w:topLinePunct/>
        <w:adjustRightInd w:val="0"/>
        <w:snapToGrid w:val="0"/>
        <w:rPr>
          <w:rFonts w:ascii="宋体" w:hAnsi="宋体"/>
          <w:kern w:val="0"/>
          <w:sz w:val="24"/>
        </w:rPr>
      </w:pPr>
      <w:r>
        <w:rPr>
          <w:rFonts w:ascii="宋体" w:hAnsi="宋体"/>
          <w:kern w:val="0"/>
          <w:sz w:val="24"/>
        </w:rPr>
        <w:t>注：端到端是指在本工程所建IP网上的IP包端到端传送。</w:t>
      </w:r>
    </w:p>
    <w:p w14:paraId="31A0CCCD">
      <w:pPr>
        <w:snapToGrid w:val="0"/>
        <w:ind w:firstLine="0" w:firstLineChars="0"/>
        <w:jc w:val="both"/>
        <w:outlineLvl w:val="1"/>
        <w:rPr>
          <w:rFonts w:ascii="宋体" w:hAnsi="宋体" w:cs="宋体"/>
          <w:b/>
          <w:color w:val="000000"/>
          <w:sz w:val="24"/>
        </w:rPr>
      </w:pPr>
      <w:bookmarkStart w:id="24" w:name="_Toc169078721"/>
      <w:r>
        <w:rPr>
          <w:rFonts w:hint="eastAsia" w:ascii="宋体" w:hAnsi="宋体" w:cs="宋体"/>
          <w:b/>
          <w:color w:val="000000"/>
          <w:sz w:val="24"/>
        </w:rPr>
        <w:t>4</w:t>
      </w:r>
      <w:r>
        <w:rPr>
          <w:rFonts w:ascii="宋体" w:hAnsi="宋体" w:cs="宋体"/>
          <w:b/>
          <w:color w:val="000000"/>
          <w:sz w:val="24"/>
        </w:rPr>
        <w:t xml:space="preserve">.2 </w:t>
      </w:r>
      <w:r>
        <w:rPr>
          <w:rFonts w:hint="eastAsia" w:ascii="宋体" w:hAnsi="宋体" w:cs="宋体"/>
          <w:b/>
          <w:color w:val="000000"/>
          <w:sz w:val="24"/>
        </w:rPr>
        <w:t>设备</w:t>
      </w:r>
      <w:r>
        <w:rPr>
          <w:rFonts w:ascii="宋体" w:hAnsi="宋体" w:cs="宋体"/>
          <w:b/>
          <w:color w:val="000000"/>
          <w:sz w:val="24"/>
        </w:rPr>
        <w:t>技术要求</w:t>
      </w:r>
      <w:bookmarkEnd w:id="24"/>
    </w:p>
    <w:p w14:paraId="38B310DE">
      <w:pPr>
        <w:pStyle w:val="5"/>
        <w:ind w:firstLine="480"/>
        <w:rPr>
          <w:bCs/>
        </w:rPr>
      </w:pPr>
      <w:r>
        <w:t xml:space="preserve">4.2.1 </w:t>
      </w:r>
      <w:r>
        <w:rPr>
          <w:bCs/>
        </w:rPr>
        <w:t>硬件</w:t>
      </w:r>
    </w:p>
    <w:p w14:paraId="2F1DD060">
      <w:pPr>
        <w:pStyle w:val="5"/>
        <w:ind w:firstLine="480"/>
      </w:pPr>
      <w:r>
        <w:rPr>
          <w:rFonts w:hint="eastAsia"/>
        </w:rPr>
        <w:t>供货方</w:t>
      </w:r>
      <w:r>
        <w:t>提供的所有设备应是全新的产品，并保证所提供产品的数量、质量，特别是接口的兼容性，主要设备能在不中断通信的情况下，可带电进行所有板卡的插拔操作。</w:t>
      </w:r>
    </w:p>
    <w:p w14:paraId="193878EA">
      <w:pPr>
        <w:pStyle w:val="5"/>
        <w:ind w:firstLine="480"/>
        <w:rPr>
          <w:bCs/>
        </w:rPr>
      </w:pPr>
      <w:r>
        <w:t xml:space="preserve">4.2.2 </w:t>
      </w:r>
      <w:r>
        <w:rPr>
          <w:bCs/>
        </w:rPr>
        <w:t>软件</w:t>
      </w:r>
    </w:p>
    <w:p w14:paraId="27221F9E">
      <w:pPr>
        <w:pStyle w:val="5"/>
        <w:ind w:firstLine="480"/>
      </w:pPr>
      <w:r>
        <w:t>1）软件模块化结构。</w:t>
      </w:r>
      <w:r>
        <w:rPr>
          <w:rFonts w:hint="eastAsia"/>
        </w:rPr>
        <w:t>供货方</w:t>
      </w:r>
      <w:r>
        <w:t>必须保证任何软件模块的维护和更新都不影响其他软件模块，软件具有容错能力。</w:t>
      </w:r>
    </w:p>
    <w:p w14:paraId="6FBEC682">
      <w:pPr>
        <w:pStyle w:val="5"/>
        <w:ind w:firstLine="480"/>
      </w:pPr>
      <w:r>
        <w:t>2）故障监视和诊断。软件能及时发现故障并发出告警能够自动恢复系统，不影响任何已建立的业务连接。</w:t>
      </w:r>
    </w:p>
    <w:p w14:paraId="4316F7E2">
      <w:pPr>
        <w:pStyle w:val="5"/>
        <w:ind w:firstLine="480"/>
      </w:pPr>
      <w:r>
        <w:t>3）兼容性及升级。</w:t>
      </w:r>
    </w:p>
    <w:p w14:paraId="0303F21E">
      <w:pPr>
        <w:pStyle w:val="5"/>
        <w:ind w:firstLine="480"/>
      </w:pPr>
      <w:r>
        <w:t>a）设备不同时期软件版本应能向下兼容，软件版本易于升级，且在升级的过程中不影响网络的性能与运行。</w:t>
      </w:r>
    </w:p>
    <w:p w14:paraId="515211EB">
      <w:pPr>
        <w:pStyle w:val="5"/>
        <w:ind w:firstLine="480"/>
      </w:pPr>
      <w:r>
        <w:t>b）应承诺在供货时提供最新版本的软件，且该软件应是经过测试正式推出的，其可靠性、稳定性经过严格验证了的商用版本。</w:t>
      </w:r>
    </w:p>
    <w:p w14:paraId="4E826665">
      <w:pPr>
        <w:pStyle w:val="5"/>
        <w:ind w:firstLine="480"/>
      </w:pPr>
      <w:r>
        <w:t>c）应提供各有效版本的清单，功能的描述，对各种协议的支持，以及对硬件平台（处理器、内存等）的要求；应提供各软件版本与硬件模块对应关系。</w:t>
      </w:r>
    </w:p>
    <w:p w14:paraId="1A729B77">
      <w:pPr>
        <w:pStyle w:val="5"/>
        <w:ind w:firstLine="480"/>
      </w:pPr>
      <w:r>
        <w:t>d）应承诺5年内免费更新软件版本，并提供相应的新版本软件功能说明书及修改说明书。</w:t>
      </w:r>
    </w:p>
    <w:p w14:paraId="54336E32">
      <w:pPr>
        <w:pStyle w:val="5"/>
        <w:ind w:firstLine="480"/>
      </w:pPr>
      <w:r>
        <w:t>4.2.3 管理要求</w:t>
      </w:r>
    </w:p>
    <w:p w14:paraId="4372E443">
      <w:pPr>
        <w:pStyle w:val="5"/>
        <w:ind w:firstLine="480"/>
      </w:pPr>
      <w:r>
        <w:t>设备应至少支持SNMP网管协议与RMON故障管理、配置管理、性能管理和安全管理。</w:t>
      </w:r>
    </w:p>
    <w:p w14:paraId="1F8E6BC6">
      <w:pPr>
        <w:pStyle w:val="5"/>
        <w:ind w:firstLine="480"/>
      </w:pPr>
      <w:r>
        <w:t>应提供设备支持网络管理和控制的机制，包括存储／上载配置、诊断、升级、状态报告、异常情况报告及控制等。</w:t>
      </w:r>
    </w:p>
    <w:p w14:paraId="0DAF6C5B">
      <w:pPr>
        <w:snapToGrid w:val="0"/>
        <w:ind w:firstLine="0" w:firstLineChars="0"/>
        <w:jc w:val="both"/>
        <w:outlineLvl w:val="1"/>
        <w:rPr>
          <w:rFonts w:ascii="宋体" w:hAnsi="宋体" w:cs="宋体"/>
          <w:b/>
          <w:color w:val="000000"/>
          <w:sz w:val="24"/>
        </w:rPr>
      </w:pPr>
      <w:bookmarkStart w:id="25" w:name="_Toc169078722"/>
      <w:r>
        <w:rPr>
          <w:rFonts w:hint="eastAsia" w:ascii="宋体" w:hAnsi="宋体" w:cs="宋体"/>
          <w:b/>
          <w:color w:val="000000"/>
          <w:sz w:val="24"/>
        </w:rPr>
        <w:t>4.</w:t>
      </w:r>
      <w:r>
        <w:rPr>
          <w:rFonts w:ascii="宋体" w:hAnsi="宋体" w:cs="宋体"/>
          <w:b/>
          <w:color w:val="000000"/>
          <w:sz w:val="24"/>
        </w:rPr>
        <w:t>3</w:t>
      </w:r>
      <w:r>
        <w:rPr>
          <w:rFonts w:hint="eastAsia" w:ascii="宋体" w:hAnsi="宋体" w:cs="宋体"/>
          <w:b/>
          <w:color w:val="000000"/>
          <w:sz w:val="24"/>
        </w:rPr>
        <w:t xml:space="preserve"> 省调、地调路由器</w:t>
      </w:r>
      <w:bookmarkEnd w:id="25"/>
    </w:p>
    <w:p w14:paraId="0C57A0CC">
      <w:pPr>
        <w:pStyle w:val="5"/>
        <w:ind w:firstLine="482"/>
        <w:rPr>
          <w:b/>
        </w:rPr>
      </w:pPr>
      <w:r>
        <w:rPr>
          <w:b/>
        </w:rPr>
        <w:t>表1 调度数据网设备—路由器标准技术参数表</w:t>
      </w:r>
    </w:p>
    <w:tbl>
      <w:tblPr>
        <w:tblStyle w:val="15"/>
        <w:tblW w:w="83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98"/>
        <w:gridCol w:w="2083"/>
        <w:gridCol w:w="4628"/>
      </w:tblGrid>
      <w:tr w14:paraId="3F988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21" w:type="dxa"/>
            <w:vAlign w:val="center"/>
          </w:tcPr>
          <w:p w14:paraId="1D76800B">
            <w:pPr>
              <w:pStyle w:val="6"/>
              <w:tabs>
                <w:tab w:val="left" w:pos="26"/>
              </w:tabs>
              <w:topLinePunct/>
              <w:snapToGrid w:val="0"/>
              <w:spacing w:before="100" w:after="100" w:line="240" w:lineRule="auto"/>
              <w:ind w:left="0" w:right="0"/>
              <w:jc w:val="center"/>
              <w:rPr>
                <w:szCs w:val="21"/>
              </w:rPr>
            </w:pPr>
            <w:r>
              <w:rPr>
                <w:rFonts w:hAnsi="宋体"/>
                <w:szCs w:val="21"/>
              </w:rPr>
              <w:t>序号</w:t>
            </w:r>
          </w:p>
        </w:tc>
        <w:tc>
          <w:tcPr>
            <w:tcW w:w="7609" w:type="dxa"/>
            <w:gridSpan w:val="3"/>
            <w:vAlign w:val="center"/>
          </w:tcPr>
          <w:p w14:paraId="0EDD5668">
            <w:pPr>
              <w:pStyle w:val="6"/>
              <w:tabs>
                <w:tab w:val="left" w:pos="26"/>
              </w:tabs>
              <w:topLinePunct/>
              <w:snapToGrid w:val="0"/>
              <w:spacing w:before="100" w:after="100" w:line="240" w:lineRule="auto"/>
              <w:ind w:left="0" w:right="0"/>
              <w:jc w:val="center"/>
              <w:rPr>
                <w:szCs w:val="21"/>
              </w:rPr>
            </w:pPr>
            <w:r>
              <w:rPr>
                <w:rFonts w:hAnsi="宋体"/>
                <w:szCs w:val="21"/>
              </w:rPr>
              <w:t>特  性  指  标</w:t>
            </w:r>
          </w:p>
        </w:tc>
      </w:tr>
      <w:tr w14:paraId="2BEBC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3A989ACF">
            <w:pPr>
              <w:pStyle w:val="6"/>
              <w:tabs>
                <w:tab w:val="left" w:pos="26"/>
              </w:tabs>
              <w:topLinePunct/>
              <w:snapToGrid w:val="0"/>
              <w:spacing w:before="100" w:after="100" w:line="240" w:lineRule="auto"/>
              <w:ind w:left="0" w:right="0"/>
              <w:jc w:val="center"/>
              <w:rPr>
                <w:szCs w:val="21"/>
              </w:rPr>
            </w:pPr>
            <w:r>
              <w:rPr>
                <w:szCs w:val="21"/>
              </w:rPr>
              <w:t>1</w:t>
            </w:r>
          </w:p>
        </w:tc>
        <w:tc>
          <w:tcPr>
            <w:tcW w:w="898" w:type="dxa"/>
            <w:vAlign w:val="center"/>
          </w:tcPr>
          <w:p w14:paraId="19265462">
            <w:pPr>
              <w:pStyle w:val="6"/>
              <w:tabs>
                <w:tab w:val="left" w:pos="26"/>
              </w:tabs>
              <w:topLinePunct/>
              <w:snapToGrid w:val="0"/>
              <w:spacing w:before="100" w:after="100" w:line="240" w:lineRule="auto"/>
              <w:ind w:left="0" w:right="0"/>
              <w:jc w:val="center"/>
              <w:rPr>
                <w:szCs w:val="21"/>
              </w:rPr>
            </w:pPr>
            <w:r>
              <w:rPr>
                <w:rFonts w:hAnsi="宋体"/>
                <w:szCs w:val="21"/>
              </w:rPr>
              <w:t>外型尺寸</w:t>
            </w:r>
          </w:p>
        </w:tc>
        <w:tc>
          <w:tcPr>
            <w:tcW w:w="6711" w:type="dxa"/>
            <w:gridSpan w:val="2"/>
            <w:vAlign w:val="center"/>
          </w:tcPr>
          <w:p w14:paraId="2F16B29A">
            <w:pPr>
              <w:pStyle w:val="6"/>
              <w:tabs>
                <w:tab w:val="left" w:pos="26"/>
              </w:tabs>
              <w:topLinePunct/>
              <w:snapToGrid w:val="0"/>
              <w:spacing w:before="100" w:after="100" w:line="240" w:lineRule="auto"/>
              <w:ind w:left="0" w:right="0"/>
              <w:jc w:val="center"/>
              <w:rPr>
                <w:szCs w:val="21"/>
              </w:rPr>
            </w:pPr>
            <w:r>
              <w:rPr>
                <w:szCs w:val="21"/>
              </w:rPr>
              <w:t>19</w:t>
            </w:r>
            <w:r>
              <w:rPr>
                <w:rFonts w:hAnsi="宋体"/>
                <w:szCs w:val="21"/>
              </w:rPr>
              <w:t>英寸机箱</w:t>
            </w:r>
          </w:p>
        </w:tc>
      </w:tr>
      <w:tr w14:paraId="4CF44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restart"/>
            <w:vAlign w:val="center"/>
          </w:tcPr>
          <w:p w14:paraId="7EF245D1">
            <w:pPr>
              <w:pStyle w:val="6"/>
              <w:tabs>
                <w:tab w:val="left" w:pos="26"/>
              </w:tabs>
              <w:topLinePunct/>
              <w:snapToGrid w:val="0"/>
              <w:spacing w:before="100" w:after="100" w:line="240" w:lineRule="auto"/>
              <w:ind w:left="0" w:right="0"/>
              <w:jc w:val="center"/>
              <w:rPr>
                <w:szCs w:val="21"/>
              </w:rPr>
            </w:pPr>
            <w:r>
              <w:rPr>
                <w:szCs w:val="21"/>
              </w:rPr>
              <w:t>2</w:t>
            </w:r>
          </w:p>
        </w:tc>
        <w:tc>
          <w:tcPr>
            <w:tcW w:w="898" w:type="dxa"/>
            <w:vMerge w:val="restart"/>
            <w:vAlign w:val="center"/>
          </w:tcPr>
          <w:p w14:paraId="2A6211E5">
            <w:pPr>
              <w:pStyle w:val="6"/>
              <w:tabs>
                <w:tab w:val="left" w:pos="26"/>
              </w:tabs>
              <w:topLinePunct/>
              <w:snapToGrid w:val="0"/>
              <w:spacing w:before="100" w:after="100" w:line="240" w:lineRule="auto"/>
              <w:ind w:left="0" w:right="0"/>
              <w:jc w:val="center"/>
              <w:rPr>
                <w:szCs w:val="21"/>
              </w:rPr>
            </w:pPr>
            <w:r>
              <w:rPr>
                <w:rFonts w:hAnsi="宋体"/>
                <w:szCs w:val="21"/>
              </w:rPr>
              <w:t>可靠性</w:t>
            </w:r>
          </w:p>
        </w:tc>
        <w:tc>
          <w:tcPr>
            <w:tcW w:w="2083" w:type="dxa"/>
            <w:vAlign w:val="center"/>
          </w:tcPr>
          <w:p w14:paraId="1DA21AB8">
            <w:pPr>
              <w:pStyle w:val="6"/>
              <w:tabs>
                <w:tab w:val="left" w:pos="26"/>
              </w:tabs>
              <w:topLinePunct/>
              <w:snapToGrid w:val="0"/>
              <w:spacing w:before="100" w:after="100" w:line="240" w:lineRule="auto"/>
              <w:ind w:left="0" w:right="0"/>
              <w:jc w:val="center"/>
              <w:rPr>
                <w:szCs w:val="21"/>
              </w:rPr>
            </w:pPr>
            <w:r>
              <w:rPr>
                <w:rFonts w:hAnsi="宋体"/>
                <w:szCs w:val="21"/>
              </w:rPr>
              <w:t>电源</w:t>
            </w:r>
          </w:p>
        </w:tc>
        <w:tc>
          <w:tcPr>
            <w:tcW w:w="4628" w:type="dxa"/>
            <w:vAlign w:val="center"/>
          </w:tcPr>
          <w:p w14:paraId="593C12F3">
            <w:pPr>
              <w:pStyle w:val="6"/>
              <w:tabs>
                <w:tab w:val="left" w:pos="26"/>
              </w:tabs>
              <w:topLinePunct/>
              <w:snapToGrid w:val="0"/>
              <w:spacing w:before="100" w:after="100" w:line="240" w:lineRule="auto"/>
              <w:ind w:left="0" w:right="0"/>
              <w:jc w:val="center"/>
              <w:rPr>
                <w:szCs w:val="21"/>
              </w:rPr>
            </w:pPr>
            <w:r>
              <w:rPr>
                <w:rFonts w:hAnsi="宋体"/>
                <w:szCs w:val="21"/>
              </w:rPr>
              <w:t>单路或双路</w:t>
            </w:r>
            <w:r>
              <w:rPr>
                <w:szCs w:val="21"/>
              </w:rPr>
              <w:t>AC 220V</w:t>
            </w:r>
            <w:r>
              <w:rPr>
                <w:rFonts w:hAnsi="宋体"/>
                <w:szCs w:val="21"/>
              </w:rPr>
              <w:t>供电</w:t>
            </w:r>
          </w:p>
        </w:tc>
      </w:tr>
      <w:tr w14:paraId="137D8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vAlign w:val="center"/>
          </w:tcPr>
          <w:p w14:paraId="57F7C504">
            <w:pPr>
              <w:pStyle w:val="6"/>
              <w:tabs>
                <w:tab w:val="left" w:pos="26"/>
              </w:tabs>
              <w:topLinePunct/>
              <w:snapToGrid w:val="0"/>
              <w:spacing w:before="100" w:after="100" w:line="240" w:lineRule="auto"/>
              <w:ind w:left="0" w:right="0"/>
              <w:jc w:val="center"/>
              <w:rPr>
                <w:szCs w:val="21"/>
              </w:rPr>
            </w:pPr>
          </w:p>
        </w:tc>
        <w:tc>
          <w:tcPr>
            <w:tcW w:w="898" w:type="dxa"/>
            <w:vMerge w:val="continue"/>
            <w:vAlign w:val="center"/>
          </w:tcPr>
          <w:p w14:paraId="35336483">
            <w:pPr>
              <w:pStyle w:val="6"/>
              <w:tabs>
                <w:tab w:val="left" w:pos="26"/>
              </w:tabs>
              <w:topLinePunct/>
              <w:snapToGrid w:val="0"/>
              <w:spacing w:before="100" w:after="100" w:line="240" w:lineRule="auto"/>
              <w:ind w:left="0" w:right="0"/>
              <w:jc w:val="center"/>
              <w:rPr>
                <w:szCs w:val="21"/>
              </w:rPr>
            </w:pPr>
          </w:p>
        </w:tc>
        <w:tc>
          <w:tcPr>
            <w:tcW w:w="2083" w:type="dxa"/>
            <w:vAlign w:val="center"/>
          </w:tcPr>
          <w:p w14:paraId="5583FE55">
            <w:pPr>
              <w:pStyle w:val="6"/>
              <w:tabs>
                <w:tab w:val="left" w:pos="26"/>
              </w:tabs>
              <w:topLinePunct/>
              <w:snapToGrid w:val="0"/>
              <w:spacing w:before="100" w:after="100" w:line="240" w:lineRule="auto"/>
              <w:ind w:left="0" w:right="0"/>
              <w:jc w:val="center"/>
              <w:rPr>
                <w:szCs w:val="21"/>
              </w:rPr>
            </w:pPr>
            <w:r>
              <w:rPr>
                <w:rFonts w:hAnsi="宋体"/>
                <w:szCs w:val="21"/>
              </w:rPr>
              <w:t>端口和协议备份</w:t>
            </w:r>
          </w:p>
        </w:tc>
        <w:tc>
          <w:tcPr>
            <w:tcW w:w="4628" w:type="dxa"/>
            <w:vAlign w:val="center"/>
          </w:tcPr>
          <w:p w14:paraId="119B4B76">
            <w:pPr>
              <w:pStyle w:val="6"/>
              <w:tabs>
                <w:tab w:val="left" w:pos="26"/>
              </w:tabs>
              <w:topLinePunct/>
              <w:snapToGrid w:val="0"/>
              <w:spacing w:before="100" w:after="100" w:line="240" w:lineRule="auto"/>
              <w:ind w:left="0" w:right="0"/>
              <w:jc w:val="center"/>
              <w:rPr>
                <w:szCs w:val="21"/>
              </w:rPr>
            </w:pPr>
            <w:r>
              <w:rPr>
                <w:rFonts w:hAnsi="宋体"/>
                <w:szCs w:val="21"/>
              </w:rPr>
              <w:t>所有端口支持相互备份、支持</w:t>
            </w:r>
            <w:r>
              <w:rPr>
                <w:szCs w:val="21"/>
              </w:rPr>
              <w:t>VRRP</w:t>
            </w:r>
            <w:r>
              <w:rPr>
                <w:rFonts w:hAnsi="宋体"/>
                <w:szCs w:val="21"/>
              </w:rPr>
              <w:t>协议</w:t>
            </w:r>
          </w:p>
        </w:tc>
      </w:tr>
      <w:tr w14:paraId="689F1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restart"/>
            <w:vAlign w:val="center"/>
          </w:tcPr>
          <w:p w14:paraId="562223D0">
            <w:pPr>
              <w:pStyle w:val="6"/>
              <w:tabs>
                <w:tab w:val="left" w:pos="26"/>
              </w:tabs>
              <w:topLinePunct/>
              <w:snapToGrid w:val="0"/>
              <w:spacing w:before="100" w:after="100" w:line="240" w:lineRule="auto"/>
              <w:ind w:left="0" w:right="0"/>
              <w:jc w:val="center"/>
              <w:rPr>
                <w:szCs w:val="21"/>
              </w:rPr>
            </w:pPr>
            <w:r>
              <w:rPr>
                <w:szCs w:val="21"/>
              </w:rPr>
              <w:t>3</w:t>
            </w:r>
          </w:p>
        </w:tc>
        <w:tc>
          <w:tcPr>
            <w:tcW w:w="898" w:type="dxa"/>
            <w:vMerge w:val="restart"/>
            <w:vAlign w:val="center"/>
          </w:tcPr>
          <w:p w14:paraId="0EF7B69C">
            <w:pPr>
              <w:pStyle w:val="6"/>
              <w:tabs>
                <w:tab w:val="left" w:pos="26"/>
              </w:tabs>
              <w:topLinePunct/>
              <w:snapToGrid w:val="0"/>
              <w:spacing w:before="100" w:after="100" w:line="240" w:lineRule="auto"/>
              <w:ind w:left="0" w:right="0"/>
              <w:jc w:val="center"/>
              <w:rPr>
                <w:szCs w:val="21"/>
              </w:rPr>
            </w:pPr>
            <w:r>
              <w:rPr>
                <w:rFonts w:hAnsi="宋体"/>
                <w:szCs w:val="21"/>
              </w:rPr>
              <w:t>处理能力</w:t>
            </w:r>
          </w:p>
        </w:tc>
        <w:tc>
          <w:tcPr>
            <w:tcW w:w="2083" w:type="dxa"/>
            <w:vAlign w:val="center"/>
          </w:tcPr>
          <w:p w14:paraId="232FD9B8">
            <w:pPr>
              <w:pStyle w:val="6"/>
              <w:tabs>
                <w:tab w:val="left" w:pos="26"/>
              </w:tabs>
              <w:topLinePunct/>
              <w:snapToGrid w:val="0"/>
              <w:spacing w:before="100" w:after="100" w:line="240" w:lineRule="auto"/>
              <w:ind w:left="0" w:right="0"/>
              <w:jc w:val="center"/>
              <w:rPr>
                <w:szCs w:val="21"/>
              </w:rPr>
            </w:pPr>
            <w:r>
              <w:rPr>
                <w:rFonts w:hAnsi="宋体"/>
                <w:szCs w:val="21"/>
              </w:rPr>
              <w:t>整机转发能力</w:t>
            </w:r>
            <w:r>
              <w:rPr>
                <w:szCs w:val="21"/>
              </w:rPr>
              <w:t>*</w:t>
            </w:r>
          </w:p>
        </w:tc>
        <w:tc>
          <w:tcPr>
            <w:tcW w:w="4628" w:type="dxa"/>
            <w:vAlign w:val="center"/>
          </w:tcPr>
          <w:p w14:paraId="32A26679">
            <w:pPr>
              <w:pStyle w:val="6"/>
              <w:tabs>
                <w:tab w:val="left" w:pos="26"/>
              </w:tabs>
              <w:topLinePunct/>
              <w:snapToGrid w:val="0"/>
              <w:spacing w:before="100" w:after="100" w:line="240" w:lineRule="auto"/>
              <w:ind w:left="0" w:right="0"/>
              <w:jc w:val="center"/>
              <w:rPr>
                <w:szCs w:val="21"/>
              </w:rPr>
            </w:pPr>
            <w:r>
              <w:rPr>
                <w:szCs w:val="21"/>
              </w:rPr>
              <w:t>≥2Mpps</w:t>
            </w:r>
          </w:p>
        </w:tc>
      </w:tr>
      <w:tr w14:paraId="25E0C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vAlign w:val="center"/>
          </w:tcPr>
          <w:p w14:paraId="78552894">
            <w:pPr>
              <w:pStyle w:val="6"/>
              <w:tabs>
                <w:tab w:val="left" w:pos="26"/>
              </w:tabs>
              <w:topLinePunct/>
              <w:snapToGrid w:val="0"/>
              <w:spacing w:before="100" w:after="100" w:line="240" w:lineRule="auto"/>
              <w:ind w:left="0" w:right="0"/>
              <w:jc w:val="center"/>
              <w:rPr>
                <w:szCs w:val="21"/>
              </w:rPr>
            </w:pPr>
          </w:p>
        </w:tc>
        <w:tc>
          <w:tcPr>
            <w:tcW w:w="898" w:type="dxa"/>
            <w:vMerge w:val="continue"/>
            <w:vAlign w:val="center"/>
          </w:tcPr>
          <w:p w14:paraId="78CD30CB">
            <w:pPr>
              <w:pStyle w:val="6"/>
              <w:tabs>
                <w:tab w:val="left" w:pos="26"/>
              </w:tabs>
              <w:topLinePunct/>
              <w:snapToGrid w:val="0"/>
              <w:spacing w:before="100" w:after="100" w:line="240" w:lineRule="auto"/>
              <w:ind w:left="0" w:right="0"/>
              <w:jc w:val="center"/>
              <w:rPr>
                <w:szCs w:val="21"/>
              </w:rPr>
            </w:pPr>
          </w:p>
        </w:tc>
        <w:tc>
          <w:tcPr>
            <w:tcW w:w="2083" w:type="dxa"/>
            <w:vAlign w:val="center"/>
          </w:tcPr>
          <w:p w14:paraId="16151A9B">
            <w:pPr>
              <w:pStyle w:val="6"/>
              <w:tabs>
                <w:tab w:val="left" w:pos="26"/>
              </w:tabs>
              <w:topLinePunct/>
              <w:snapToGrid w:val="0"/>
              <w:spacing w:before="100" w:after="100" w:line="240" w:lineRule="auto"/>
              <w:ind w:left="0" w:right="0"/>
              <w:jc w:val="center"/>
              <w:rPr>
                <w:szCs w:val="21"/>
              </w:rPr>
            </w:pPr>
            <w:r>
              <w:rPr>
                <w:rFonts w:hAnsi="宋体"/>
                <w:szCs w:val="21"/>
              </w:rPr>
              <w:t>内存</w:t>
            </w:r>
            <w:r>
              <w:rPr>
                <w:szCs w:val="21"/>
              </w:rPr>
              <w:t>*</w:t>
            </w:r>
          </w:p>
        </w:tc>
        <w:tc>
          <w:tcPr>
            <w:tcW w:w="4628" w:type="dxa"/>
            <w:vAlign w:val="center"/>
          </w:tcPr>
          <w:p w14:paraId="4A0F3F48">
            <w:pPr>
              <w:pStyle w:val="6"/>
              <w:tabs>
                <w:tab w:val="left" w:pos="26"/>
              </w:tabs>
              <w:topLinePunct/>
              <w:snapToGrid w:val="0"/>
              <w:spacing w:before="100" w:after="100" w:line="240" w:lineRule="auto"/>
              <w:ind w:left="0" w:right="0"/>
              <w:jc w:val="center"/>
              <w:rPr>
                <w:szCs w:val="21"/>
              </w:rPr>
            </w:pPr>
            <w:r>
              <w:rPr>
                <w:szCs w:val="21"/>
              </w:rPr>
              <w:t>≥1GB</w:t>
            </w:r>
            <w:r>
              <w:rPr>
                <w:rFonts w:hAnsi="宋体"/>
                <w:szCs w:val="21"/>
              </w:rPr>
              <w:t>，可扩充</w:t>
            </w:r>
          </w:p>
        </w:tc>
      </w:tr>
      <w:tr w14:paraId="15869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vAlign w:val="center"/>
          </w:tcPr>
          <w:p w14:paraId="17F7514A">
            <w:pPr>
              <w:pStyle w:val="6"/>
              <w:tabs>
                <w:tab w:val="left" w:pos="26"/>
              </w:tabs>
              <w:topLinePunct/>
              <w:snapToGrid w:val="0"/>
              <w:spacing w:before="100" w:after="100" w:line="240" w:lineRule="auto"/>
              <w:ind w:left="0" w:right="0"/>
              <w:jc w:val="center"/>
              <w:rPr>
                <w:szCs w:val="21"/>
              </w:rPr>
            </w:pPr>
          </w:p>
        </w:tc>
        <w:tc>
          <w:tcPr>
            <w:tcW w:w="898" w:type="dxa"/>
            <w:vMerge w:val="continue"/>
            <w:vAlign w:val="center"/>
          </w:tcPr>
          <w:p w14:paraId="22E2F491">
            <w:pPr>
              <w:pStyle w:val="6"/>
              <w:tabs>
                <w:tab w:val="left" w:pos="26"/>
              </w:tabs>
              <w:topLinePunct/>
              <w:snapToGrid w:val="0"/>
              <w:spacing w:before="100" w:after="100" w:line="240" w:lineRule="auto"/>
              <w:ind w:left="0" w:right="0"/>
              <w:jc w:val="center"/>
              <w:rPr>
                <w:szCs w:val="21"/>
              </w:rPr>
            </w:pPr>
          </w:p>
        </w:tc>
        <w:tc>
          <w:tcPr>
            <w:tcW w:w="2083" w:type="dxa"/>
            <w:vAlign w:val="center"/>
          </w:tcPr>
          <w:p w14:paraId="5B6E3C91">
            <w:pPr>
              <w:pStyle w:val="6"/>
              <w:tabs>
                <w:tab w:val="left" w:pos="26"/>
              </w:tabs>
              <w:topLinePunct/>
              <w:snapToGrid w:val="0"/>
              <w:spacing w:before="100" w:after="100" w:line="240" w:lineRule="auto"/>
              <w:ind w:left="0" w:right="0"/>
              <w:jc w:val="center"/>
              <w:rPr>
                <w:szCs w:val="21"/>
              </w:rPr>
            </w:pPr>
            <w:r>
              <w:rPr>
                <w:rFonts w:hAnsi="宋体"/>
                <w:szCs w:val="21"/>
              </w:rPr>
              <w:t>转发时延</w:t>
            </w:r>
            <w:r>
              <w:rPr>
                <w:szCs w:val="21"/>
              </w:rPr>
              <w:t>*</w:t>
            </w:r>
          </w:p>
        </w:tc>
        <w:tc>
          <w:tcPr>
            <w:tcW w:w="4628" w:type="dxa"/>
            <w:vAlign w:val="center"/>
          </w:tcPr>
          <w:p w14:paraId="1094B830">
            <w:pPr>
              <w:pStyle w:val="6"/>
              <w:tabs>
                <w:tab w:val="left" w:pos="26"/>
              </w:tabs>
              <w:topLinePunct/>
              <w:snapToGrid w:val="0"/>
              <w:spacing w:before="100" w:after="100" w:line="240" w:lineRule="auto"/>
              <w:ind w:left="0" w:right="0"/>
              <w:jc w:val="center"/>
              <w:rPr>
                <w:szCs w:val="21"/>
              </w:rPr>
            </w:pPr>
            <w:r>
              <w:rPr>
                <w:szCs w:val="21"/>
              </w:rPr>
              <w:t>≤0.1ms</w:t>
            </w:r>
            <w:r>
              <w:rPr>
                <w:rFonts w:hAnsi="宋体"/>
                <w:szCs w:val="21"/>
              </w:rPr>
              <w:t>（在</w:t>
            </w:r>
            <w:r>
              <w:rPr>
                <w:szCs w:val="21"/>
              </w:rPr>
              <w:t>64 Byte IP</w:t>
            </w:r>
            <w:r>
              <w:rPr>
                <w:rFonts w:hAnsi="宋体"/>
                <w:szCs w:val="21"/>
              </w:rPr>
              <w:t>包）</w:t>
            </w:r>
          </w:p>
        </w:tc>
      </w:tr>
      <w:tr w14:paraId="0CBBF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1B89C080">
            <w:pPr>
              <w:pStyle w:val="6"/>
              <w:tabs>
                <w:tab w:val="left" w:pos="26"/>
              </w:tabs>
              <w:topLinePunct/>
              <w:snapToGrid w:val="0"/>
              <w:spacing w:before="100" w:after="100" w:line="240" w:lineRule="auto"/>
              <w:ind w:left="0" w:right="0"/>
              <w:jc w:val="center"/>
              <w:rPr>
                <w:szCs w:val="21"/>
              </w:rPr>
            </w:pPr>
            <w:r>
              <w:rPr>
                <w:szCs w:val="21"/>
              </w:rPr>
              <w:t>4</w:t>
            </w:r>
          </w:p>
        </w:tc>
        <w:tc>
          <w:tcPr>
            <w:tcW w:w="898" w:type="dxa"/>
            <w:vAlign w:val="center"/>
          </w:tcPr>
          <w:p w14:paraId="30B921EB">
            <w:pPr>
              <w:pStyle w:val="6"/>
              <w:tabs>
                <w:tab w:val="left" w:pos="26"/>
              </w:tabs>
              <w:topLinePunct/>
              <w:snapToGrid w:val="0"/>
              <w:spacing w:before="100" w:after="100" w:line="240" w:lineRule="auto"/>
              <w:ind w:left="0" w:right="0"/>
              <w:jc w:val="center"/>
              <w:rPr>
                <w:szCs w:val="21"/>
              </w:rPr>
            </w:pPr>
            <w:r>
              <w:rPr>
                <w:rFonts w:hAnsi="宋体"/>
                <w:szCs w:val="21"/>
              </w:rPr>
              <w:t>网络协议支持</w:t>
            </w:r>
          </w:p>
        </w:tc>
        <w:tc>
          <w:tcPr>
            <w:tcW w:w="6711" w:type="dxa"/>
            <w:gridSpan w:val="2"/>
            <w:vAlign w:val="center"/>
          </w:tcPr>
          <w:p w14:paraId="5D05138F">
            <w:pPr>
              <w:pStyle w:val="6"/>
              <w:tabs>
                <w:tab w:val="left" w:pos="26"/>
              </w:tabs>
              <w:topLinePunct/>
              <w:snapToGrid w:val="0"/>
              <w:spacing w:before="100" w:after="100" w:line="240" w:lineRule="auto"/>
              <w:ind w:left="0" w:right="0"/>
              <w:jc w:val="center"/>
              <w:rPr>
                <w:szCs w:val="21"/>
              </w:rPr>
            </w:pPr>
            <w:r>
              <w:rPr>
                <w:szCs w:val="21"/>
              </w:rPr>
              <w:t>TCP/IP</w:t>
            </w:r>
            <w:r>
              <w:rPr>
                <w:rFonts w:hAnsi="宋体"/>
                <w:szCs w:val="21"/>
              </w:rPr>
              <w:t>协议族（</w:t>
            </w:r>
            <w:r>
              <w:rPr>
                <w:szCs w:val="21"/>
              </w:rPr>
              <w:t>IP\TCP\UDP\ARP</w:t>
            </w:r>
            <w:r>
              <w:rPr>
                <w:rFonts w:hAnsi="宋体"/>
                <w:szCs w:val="21"/>
              </w:rPr>
              <w:t>）</w:t>
            </w:r>
          </w:p>
        </w:tc>
      </w:tr>
      <w:tr w14:paraId="390A4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2A16F167">
            <w:pPr>
              <w:pStyle w:val="6"/>
              <w:tabs>
                <w:tab w:val="left" w:pos="26"/>
              </w:tabs>
              <w:topLinePunct/>
              <w:snapToGrid w:val="0"/>
              <w:spacing w:before="100" w:after="100" w:line="240" w:lineRule="auto"/>
              <w:ind w:left="0" w:right="0"/>
              <w:jc w:val="center"/>
              <w:rPr>
                <w:szCs w:val="21"/>
              </w:rPr>
            </w:pPr>
            <w:r>
              <w:rPr>
                <w:szCs w:val="21"/>
              </w:rPr>
              <w:t>5</w:t>
            </w:r>
          </w:p>
        </w:tc>
        <w:tc>
          <w:tcPr>
            <w:tcW w:w="898" w:type="dxa"/>
            <w:vAlign w:val="center"/>
          </w:tcPr>
          <w:p w14:paraId="1F8F5311">
            <w:pPr>
              <w:pStyle w:val="6"/>
              <w:tabs>
                <w:tab w:val="left" w:pos="26"/>
              </w:tabs>
              <w:topLinePunct/>
              <w:snapToGrid w:val="0"/>
              <w:spacing w:before="100" w:after="100" w:line="240" w:lineRule="auto"/>
              <w:ind w:left="0" w:right="0"/>
              <w:jc w:val="center"/>
              <w:rPr>
                <w:szCs w:val="21"/>
              </w:rPr>
            </w:pPr>
            <w:r>
              <w:rPr>
                <w:rFonts w:hAnsi="宋体"/>
                <w:szCs w:val="21"/>
              </w:rPr>
              <w:t>路由协议支持</w:t>
            </w:r>
          </w:p>
        </w:tc>
        <w:tc>
          <w:tcPr>
            <w:tcW w:w="6711" w:type="dxa"/>
            <w:gridSpan w:val="2"/>
            <w:vAlign w:val="center"/>
          </w:tcPr>
          <w:p w14:paraId="03C5C8A1">
            <w:pPr>
              <w:pStyle w:val="6"/>
              <w:tabs>
                <w:tab w:val="left" w:pos="26"/>
              </w:tabs>
              <w:topLinePunct/>
              <w:snapToGrid w:val="0"/>
              <w:spacing w:before="100" w:after="100" w:line="240" w:lineRule="auto"/>
              <w:ind w:left="0" w:right="0"/>
              <w:jc w:val="center"/>
              <w:rPr>
                <w:szCs w:val="21"/>
              </w:rPr>
            </w:pPr>
            <w:r>
              <w:rPr>
                <w:rFonts w:hAnsi="宋体"/>
                <w:szCs w:val="21"/>
              </w:rPr>
              <w:t>静态路由、</w:t>
            </w:r>
            <w:r>
              <w:rPr>
                <w:szCs w:val="21"/>
              </w:rPr>
              <w:t>OSPF</w:t>
            </w:r>
            <w:r>
              <w:rPr>
                <w:rFonts w:hAnsi="宋体"/>
                <w:szCs w:val="21"/>
              </w:rPr>
              <w:t>、</w:t>
            </w:r>
            <w:r>
              <w:rPr>
                <w:szCs w:val="21"/>
              </w:rPr>
              <w:t>BGP</w:t>
            </w:r>
            <w:r>
              <w:rPr>
                <w:rFonts w:hAnsi="宋体"/>
                <w:szCs w:val="21"/>
              </w:rPr>
              <w:t>、</w:t>
            </w:r>
            <w:r>
              <w:rPr>
                <w:szCs w:val="21"/>
              </w:rPr>
              <w:t>IS-IS</w:t>
            </w:r>
          </w:p>
        </w:tc>
      </w:tr>
      <w:tr w14:paraId="063EC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2B05E6C6">
            <w:pPr>
              <w:pStyle w:val="6"/>
              <w:tabs>
                <w:tab w:val="left" w:pos="26"/>
              </w:tabs>
              <w:topLinePunct/>
              <w:snapToGrid w:val="0"/>
              <w:spacing w:before="100" w:after="100" w:line="240" w:lineRule="auto"/>
              <w:ind w:left="0" w:right="0"/>
              <w:jc w:val="center"/>
              <w:rPr>
                <w:szCs w:val="21"/>
              </w:rPr>
            </w:pPr>
            <w:r>
              <w:rPr>
                <w:szCs w:val="21"/>
              </w:rPr>
              <w:t>6</w:t>
            </w:r>
          </w:p>
        </w:tc>
        <w:tc>
          <w:tcPr>
            <w:tcW w:w="898" w:type="dxa"/>
            <w:vAlign w:val="center"/>
          </w:tcPr>
          <w:p w14:paraId="4D566046">
            <w:pPr>
              <w:pStyle w:val="6"/>
              <w:tabs>
                <w:tab w:val="left" w:pos="26"/>
              </w:tabs>
              <w:topLinePunct/>
              <w:snapToGrid w:val="0"/>
              <w:spacing w:before="100" w:after="100" w:line="240" w:lineRule="auto"/>
              <w:ind w:left="0" w:right="0"/>
              <w:jc w:val="center"/>
              <w:rPr>
                <w:szCs w:val="21"/>
              </w:rPr>
            </w:pPr>
            <w:r>
              <w:rPr>
                <w:rFonts w:hAnsi="宋体"/>
                <w:szCs w:val="21"/>
              </w:rPr>
              <w:t>组播协议支持</w:t>
            </w:r>
          </w:p>
        </w:tc>
        <w:tc>
          <w:tcPr>
            <w:tcW w:w="6711" w:type="dxa"/>
            <w:gridSpan w:val="2"/>
            <w:vAlign w:val="center"/>
          </w:tcPr>
          <w:p w14:paraId="0536EA0A">
            <w:pPr>
              <w:pStyle w:val="6"/>
              <w:tabs>
                <w:tab w:val="left" w:pos="26"/>
              </w:tabs>
              <w:topLinePunct/>
              <w:snapToGrid w:val="0"/>
              <w:spacing w:before="100" w:after="100" w:line="240" w:lineRule="auto"/>
              <w:ind w:left="0" w:right="0"/>
              <w:jc w:val="center"/>
              <w:rPr>
                <w:szCs w:val="21"/>
              </w:rPr>
            </w:pPr>
            <w:r>
              <w:rPr>
                <w:szCs w:val="21"/>
              </w:rPr>
              <w:t>PIM</w:t>
            </w:r>
            <w:r>
              <w:rPr>
                <w:rFonts w:hAnsi="宋体"/>
                <w:szCs w:val="21"/>
              </w:rPr>
              <w:t>、</w:t>
            </w:r>
            <w:r>
              <w:rPr>
                <w:szCs w:val="21"/>
              </w:rPr>
              <w:t>IGMP</w:t>
            </w:r>
          </w:p>
        </w:tc>
      </w:tr>
      <w:tr w14:paraId="6717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restart"/>
            <w:vAlign w:val="center"/>
          </w:tcPr>
          <w:p w14:paraId="7BA5E2BB">
            <w:pPr>
              <w:pStyle w:val="6"/>
              <w:tabs>
                <w:tab w:val="left" w:pos="26"/>
              </w:tabs>
              <w:topLinePunct/>
              <w:snapToGrid w:val="0"/>
              <w:spacing w:before="100" w:after="100" w:line="240" w:lineRule="auto"/>
              <w:ind w:left="0" w:right="0"/>
              <w:jc w:val="center"/>
              <w:rPr>
                <w:szCs w:val="21"/>
              </w:rPr>
            </w:pPr>
            <w:r>
              <w:rPr>
                <w:szCs w:val="21"/>
              </w:rPr>
              <w:t>7</w:t>
            </w:r>
          </w:p>
        </w:tc>
        <w:tc>
          <w:tcPr>
            <w:tcW w:w="898" w:type="dxa"/>
            <w:vMerge w:val="restart"/>
            <w:vAlign w:val="center"/>
          </w:tcPr>
          <w:p w14:paraId="4EC3D7E8">
            <w:pPr>
              <w:pStyle w:val="6"/>
              <w:tabs>
                <w:tab w:val="left" w:pos="26"/>
              </w:tabs>
              <w:topLinePunct/>
              <w:snapToGrid w:val="0"/>
              <w:spacing w:before="100" w:after="100" w:line="240" w:lineRule="auto"/>
              <w:ind w:left="0" w:right="0"/>
              <w:jc w:val="center"/>
              <w:rPr>
                <w:szCs w:val="21"/>
              </w:rPr>
            </w:pPr>
            <w:r>
              <w:rPr>
                <w:rFonts w:hAnsi="宋体"/>
                <w:szCs w:val="21"/>
              </w:rPr>
              <w:t>安全特性支持</w:t>
            </w:r>
          </w:p>
        </w:tc>
        <w:tc>
          <w:tcPr>
            <w:tcW w:w="6711" w:type="dxa"/>
            <w:gridSpan w:val="2"/>
            <w:vAlign w:val="center"/>
          </w:tcPr>
          <w:p w14:paraId="3669AAF9">
            <w:pPr>
              <w:pStyle w:val="6"/>
              <w:tabs>
                <w:tab w:val="left" w:pos="26"/>
              </w:tabs>
              <w:topLinePunct/>
              <w:snapToGrid w:val="0"/>
              <w:spacing w:before="100" w:after="100" w:line="240" w:lineRule="auto"/>
              <w:ind w:left="0" w:right="0"/>
              <w:jc w:val="center"/>
              <w:rPr>
                <w:szCs w:val="21"/>
              </w:rPr>
            </w:pPr>
            <w:r>
              <w:rPr>
                <w:rFonts w:hAnsi="宋体"/>
                <w:szCs w:val="21"/>
              </w:rPr>
              <w:t>端口安全：</w:t>
            </w:r>
            <w:r>
              <w:rPr>
                <w:szCs w:val="21"/>
              </w:rPr>
              <w:t>PPPoE Client&amp;Server</w:t>
            </w:r>
            <w:r>
              <w:rPr>
                <w:rFonts w:hAnsi="宋体"/>
                <w:szCs w:val="21"/>
              </w:rPr>
              <w:t>、</w:t>
            </w:r>
            <w:r>
              <w:rPr>
                <w:szCs w:val="21"/>
              </w:rPr>
              <w:t>Portal</w:t>
            </w:r>
            <w:r>
              <w:rPr>
                <w:rFonts w:hAnsi="宋体"/>
                <w:szCs w:val="21"/>
              </w:rPr>
              <w:t>、</w:t>
            </w:r>
            <w:r>
              <w:rPr>
                <w:szCs w:val="21"/>
              </w:rPr>
              <w:t>802.1x</w:t>
            </w:r>
          </w:p>
        </w:tc>
      </w:tr>
      <w:tr w14:paraId="6DC3D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vAlign w:val="center"/>
          </w:tcPr>
          <w:p w14:paraId="524527CC">
            <w:pPr>
              <w:pStyle w:val="6"/>
              <w:tabs>
                <w:tab w:val="left" w:pos="26"/>
              </w:tabs>
              <w:topLinePunct/>
              <w:snapToGrid w:val="0"/>
              <w:spacing w:before="100" w:after="100" w:line="240" w:lineRule="auto"/>
              <w:ind w:left="0" w:right="0"/>
              <w:jc w:val="center"/>
              <w:rPr>
                <w:szCs w:val="21"/>
              </w:rPr>
            </w:pPr>
          </w:p>
        </w:tc>
        <w:tc>
          <w:tcPr>
            <w:tcW w:w="898" w:type="dxa"/>
            <w:vMerge w:val="continue"/>
            <w:vAlign w:val="center"/>
          </w:tcPr>
          <w:p w14:paraId="542CEECD">
            <w:pPr>
              <w:pStyle w:val="6"/>
              <w:tabs>
                <w:tab w:val="left" w:pos="26"/>
              </w:tabs>
              <w:topLinePunct/>
              <w:snapToGrid w:val="0"/>
              <w:spacing w:before="100" w:after="100" w:line="240" w:lineRule="auto"/>
              <w:ind w:left="0" w:right="0"/>
              <w:jc w:val="center"/>
              <w:rPr>
                <w:szCs w:val="21"/>
              </w:rPr>
            </w:pPr>
          </w:p>
        </w:tc>
        <w:tc>
          <w:tcPr>
            <w:tcW w:w="6711" w:type="dxa"/>
            <w:gridSpan w:val="2"/>
            <w:vAlign w:val="center"/>
          </w:tcPr>
          <w:p w14:paraId="5DCE83FE">
            <w:pPr>
              <w:pStyle w:val="6"/>
              <w:tabs>
                <w:tab w:val="left" w:pos="26"/>
              </w:tabs>
              <w:topLinePunct/>
              <w:snapToGrid w:val="0"/>
              <w:spacing w:before="100" w:after="100" w:line="240" w:lineRule="auto"/>
              <w:ind w:left="0" w:right="0"/>
              <w:jc w:val="center"/>
              <w:rPr>
                <w:szCs w:val="21"/>
              </w:rPr>
            </w:pPr>
            <w:r>
              <w:rPr>
                <w:rFonts w:hAnsi="宋体"/>
                <w:szCs w:val="21"/>
              </w:rPr>
              <w:t>防火墙：</w:t>
            </w:r>
            <w:r>
              <w:rPr>
                <w:szCs w:val="21"/>
              </w:rPr>
              <w:t>ASPF</w:t>
            </w:r>
            <w:r>
              <w:rPr>
                <w:rFonts w:hAnsi="宋体"/>
                <w:szCs w:val="21"/>
              </w:rPr>
              <w:t>、</w:t>
            </w:r>
            <w:r>
              <w:rPr>
                <w:szCs w:val="21"/>
              </w:rPr>
              <w:t>ACL</w:t>
            </w:r>
            <w:r>
              <w:rPr>
                <w:rFonts w:hAnsi="宋体"/>
                <w:szCs w:val="21"/>
              </w:rPr>
              <w:t>、</w:t>
            </w:r>
            <w:r>
              <w:rPr>
                <w:szCs w:val="21"/>
              </w:rPr>
              <w:t>FILTER</w:t>
            </w:r>
          </w:p>
        </w:tc>
      </w:tr>
      <w:tr w14:paraId="066CD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vAlign w:val="center"/>
          </w:tcPr>
          <w:p w14:paraId="3E035A9B">
            <w:pPr>
              <w:pStyle w:val="6"/>
              <w:tabs>
                <w:tab w:val="left" w:pos="26"/>
              </w:tabs>
              <w:topLinePunct/>
              <w:snapToGrid w:val="0"/>
              <w:spacing w:before="100" w:after="100" w:line="240" w:lineRule="auto"/>
              <w:ind w:left="0" w:right="0"/>
              <w:jc w:val="center"/>
              <w:rPr>
                <w:szCs w:val="21"/>
              </w:rPr>
            </w:pPr>
          </w:p>
        </w:tc>
        <w:tc>
          <w:tcPr>
            <w:tcW w:w="898" w:type="dxa"/>
            <w:vMerge w:val="continue"/>
            <w:vAlign w:val="center"/>
          </w:tcPr>
          <w:p w14:paraId="527A368C">
            <w:pPr>
              <w:pStyle w:val="6"/>
              <w:tabs>
                <w:tab w:val="left" w:pos="26"/>
              </w:tabs>
              <w:topLinePunct/>
              <w:snapToGrid w:val="0"/>
              <w:spacing w:before="100" w:after="100" w:line="240" w:lineRule="auto"/>
              <w:ind w:left="0" w:right="0"/>
              <w:jc w:val="center"/>
              <w:rPr>
                <w:szCs w:val="21"/>
              </w:rPr>
            </w:pPr>
          </w:p>
        </w:tc>
        <w:tc>
          <w:tcPr>
            <w:tcW w:w="6711" w:type="dxa"/>
            <w:gridSpan w:val="2"/>
            <w:vAlign w:val="center"/>
          </w:tcPr>
          <w:p w14:paraId="62831E09">
            <w:pPr>
              <w:pStyle w:val="6"/>
              <w:tabs>
                <w:tab w:val="left" w:pos="26"/>
              </w:tabs>
              <w:topLinePunct/>
              <w:snapToGrid w:val="0"/>
              <w:spacing w:before="100" w:after="100" w:line="240" w:lineRule="auto"/>
              <w:ind w:left="0" w:right="0"/>
              <w:jc w:val="center"/>
              <w:rPr>
                <w:szCs w:val="21"/>
              </w:rPr>
            </w:pPr>
            <w:r>
              <w:rPr>
                <w:rFonts w:hAnsi="宋体"/>
                <w:szCs w:val="21"/>
              </w:rPr>
              <w:t>数据安全：硬件加密引擎（</w:t>
            </w:r>
            <w:r>
              <w:rPr>
                <w:szCs w:val="21"/>
              </w:rPr>
              <w:t>NDE</w:t>
            </w:r>
            <w:r>
              <w:rPr>
                <w:rFonts w:hAnsi="宋体"/>
                <w:szCs w:val="21"/>
              </w:rPr>
              <w:t>）、</w:t>
            </w:r>
            <w:r>
              <w:rPr>
                <w:szCs w:val="21"/>
              </w:rPr>
              <w:t>IKE</w:t>
            </w:r>
            <w:r>
              <w:rPr>
                <w:rFonts w:hAnsi="宋体"/>
                <w:szCs w:val="21"/>
              </w:rPr>
              <w:t>、</w:t>
            </w:r>
            <w:r>
              <w:rPr>
                <w:szCs w:val="21"/>
              </w:rPr>
              <w:t>IP Sec</w:t>
            </w:r>
            <w:r>
              <w:rPr>
                <w:rFonts w:hAnsi="宋体"/>
                <w:szCs w:val="21"/>
              </w:rPr>
              <w:t>、</w:t>
            </w:r>
            <w:r>
              <w:rPr>
                <w:szCs w:val="21"/>
              </w:rPr>
              <w:t>Portal</w:t>
            </w:r>
          </w:p>
        </w:tc>
      </w:tr>
      <w:tr w14:paraId="153F6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vAlign w:val="center"/>
          </w:tcPr>
          <w:p w14:paraId="152813ED">
            <w:pPr>
              <w:pStyle w:val="6"/>
              <w:tabs>
                <w:tab w:val="left" w:pos="26"/>
              </w:tabs>
              <w:topLinePunct/>
              <w:snapToGrid w:val="0"/>
              <w:spacing w:before="100" w:after="100" w:line="240" w:lineRule="auto"/>
              <w:ind w:left="0" w:right="0"/>
              <w:jc w:val="center"/>
              <w:rPr>
                <w:szCs w:val="21"/>
                <w:lang w:val="pt-BR"/>
              </w:rPr>
            </w:pPr>
          </w:p>
        </w:tc>
        <w:tc>
          <w:tcPr>
            <w:tcW w:w="898" w:type="dxa"/>
            <w:vMerge w:val="continue"/>
            <w:vAlign w:val="center"/>
          </w:tcPr>
          <w:p w14:paraId="7EAFA62C">
            <w:pPr>
              <w:pStyle w:val="6"/>
              <w:tabs>
                <w:tab w:val="left" w:pos="26"/>
              </w:tabs>
              <w:topLinePunct/>
              <w:snapToGrid w:val="0"/>
              <w:spacing w:before="100" w:after="100" w:line="240" w:lineRule="auto"/>
              <w:ind w:left="0" w:right="0"/>
              <w:jc w:val="center"/>
              <w:rPr>
                <w:szCs w:val="21"/>
                <w:lang w:val="pt-BR"/>
              </w:rPr>
            </w:pPr>
          </w:p>
        </w:tc>
        <w:tc>
          <w:tcPr>
            <w:tcW w:w="6711" w:type="dxa"/>
            <w:gridSpan w:val="2"/>
            <w:vAlign w:val="center"/>
          </w:tcPr>
          <w:p w14:paraId="3CAEC685">
            <w:pPr>
              <w:pStyle w:val="6"/>
              <w:tabs>
                <w:tab w:val="left" w:pos="26"/>
              </w:tabs>
              <w:topLinePunct/>
              <w:snapToGrid w:val="0"/>
              <w:spacing w:before="100" w:after="100" w:line="240" w:lineRule="auto"/>
              <w:ind w:left="0" w:right="0"/>
              <w:jc w:val="center"/>
              <w:rPr>
                <w:szCs w:val="21"/>
                <w:lang w:val="pt-BR"/>
              </w:rPr>
            </w:pPr>
            <w:r>
              <w:rPr>
                <w:rFonts w:hAnsi="宋体"/>
                <w:szCs w:val="21"/>
              </w:rPr>
              <w:t>其它安全技术</w:t>
            </w:r>
            <w:r>
              <w:rPr>
                <w:rFonts w:hAnsi="宋体"/>
                <w:szCs w:val="21"/>
                <w:lang w:val="pt-BR"/>
              </w:rPr>
              <w:t>：</w:t>
            </w:r>
            <w:r>
              <w:rPr>
                <w:szCs w:val="21"/>
                <w:lang w:val="pt-BR"/>
              </w:rPr>
              <w:t>L2TP</w:t>
            </w:r>
            <w:r>
              <w:rPr>
                <w:rFonts w:hAnsi="宋体"/>
                <w:szCs w:val="21"/>
              </w:rPr>
              <w:t>、</w:t>
            </w:r>
            <w:r>
              <w:rPr>
                <w:szCs w:val="21"/>
                <w:lang w:val="pt-BR"/>
              </w:rPr>
              <w:t>NAT/NAPT</w:t>
            </w:r>
            <w:r>
              <w:rPr>
                <w:rFonts w:hAnsi="宋体"/>
                <w:szCs w:val="21"/>
              </w:rPr>
              <w:t>、</w:t>
            </w:r>
            <w:r>
              <w:rPr>
                <w:szCs w:val="21"/>
                <w:lang w:val="pt-BR"/>
              </w:rPr>
              <w:t>PKI</w:t>
            </w:r>
            <w:r>
              <w:rPr>
                <w:rFonts w:hAnsi="宋体"/>
                <w:szCs w:val="21"/>
              </w:rPr>
              <w:t>、</w:t>
            </w:r>
            <w:r>
              <w:rPr>
                <w:szCs w:val="21"/>
                <w:lang w:val="pt-BR"/>
              </w:rPr>
              <w:t>RSA</w:t>
            </w:r>
            <w:r>
              <w:rPr>
                <w:rFonts w:hAnsi="宋体"/>
                <w:szCs w:val="21"/>
              </w:rPr>
              <w:t>、</w:t>
            </w:r>
            <w:r>
              <w:rPr>
                <w:szCs w:val="21"/>
                <w:lang w:val="pt-BR"/>
              </w:rPr>
              <w:t>SSH</w:t>
            </w:r>
            <w:r>
              <w:rPr>
                <w:rFonts w:hAnsi="宋体"/>
                <w:szCs w:val="21"/>
              </w:rPr>
              <w:t>、</w:t>
            </w:r>
            <w:r>
              <w:rPr>
                <w:szCs w:val="21"/>
                <w:lang w:val="pt-BR"/>
              </w:rPr>
              <w:t>SSL</w:t>
            </w:r>
            <w:r>
              <w:rPr>
                <w:rFonts w:hAnsi="宋体"/>
                <w:szCs w:val="21"/>
              </w:rPr>
              <w:t>、</w:t>
            </w:r>
          </w:p>
          <w:p w14:paraId="21F532EA">
            <w:pPr>
              <w:pStyle w:val="6"/>
              <w:tabs>
                <w:tab w:val="left" w:pos="26"/>
              </w:tabs>
              <w:topLinePunct/>
              <w:snapToGrid w:val="0"/>
              <w:spacing w:before="100" w:after="100" w:line="240" w:lineRule="auto"/>
              <w:ind w:left="0" w:right="0"/>
              <w:jc w:val="center"/>
              <w:rPr>
                <w:szCs w:val="21"/>
                <w:lang w:val="pt-BR"/>
              </w:rPr>
            </w:pPr>
            <w:r>
              <w:rPr>
                <w:szCs w:val="21"/>
                <w:lang w:val="pt-BR"/>
              </w:rPr>
              <w:t>URPF</w:t>
            </w:r>
            <w:r>
              <w:rPr>
                <w:rFonts w:hAnsi="宋体"/>
                <w:szCs w:val="21"/>
              </w:rPr>
              <w:t>、</w:t>
            </w:r>
            <w:r>
              <w:rPr>
                <w:szCs w:val="21"/>
                <w:lang w:val="pt-BR"/>
              </w:rPr>
              <w:t>GRE</w:t>
            </w:r>
            <w:r>
              <w:rPr>
                <w:rFonts w:hAnsi="宋体"/>
                <w:szCs w:val="21"/>
              </w:rPr>
              <w:t>、</w:t>
            </w:r>
            <w:r>
              <w:rPr>
                <w:szCs w:val="21"/>
                <w:lang w:val="pt-BR"/>
              </w:rPr>
              <w:t>DVPN</w:t>
            </w:r>
            <w:r>
              <w:rPr>
                <w:rFonts w:hAnsi="宋体"/>
                <w:szCs w:val="21"/>
              </w:rPr>
              <w:t>、防攻击</w:t>
            </w:r>
          </w:p>
        </w:tc>
      </w:tr>
      <w:tr w14:paraId="64153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47E87C01">
            <w:pPr>
              <w:pStyle w:val="6"/>
              <w:tabs>
                <w:tab w:val="left" w:pos="26"/>
              </w:tabs>
              <w:topLinePunct/>
              <w:snapToGrid w:val="0"/>
              <w:spacing w:before="100" w:after="100" w:line="240" w:lineRule="auto"/>
              <w:ind w:left="0" w:right="0"/>
              <w:jc w:val="center"/>
              <w:rPr>
                <w:szCs w:val="21"/>
              </w:rPr>
            </w:pPr>
            <w:r>
              <w:rPr>
                <w:szCs w:val="21"/>
              </w:rPr>
              <w:t>8</w:t>
            </w:r>
          </w:p>
        </w:tc>
        <w:tc>
          <w:tcPr>
            <w:tcW w:w="898" w:type="dxa"/>
            <w:vAlign w:val="center"/>
          </w:tcPr>
          <w:p w14:paraId="598A5169">
            <w:pPr>
              <w:pStyle w:val="6"/>
              <w:tabs>
                <w:tab w:val="left" w:pos="26"/>
              </w:tabs>
              <w:topLinePunct/>
              <w:snapToGrid w:val="0"/>
              <w:spacing w:before="100" w:after="100" w:line="240" w:lineRule="auto"/>
              <w:ind w:left="0" w:right="0"/>
              <w:jc w:val="center"/>
              <w:rPr>
                <w:szCs w:val="21"/>
              </w:rPr>
            </w:pPr>
            <w:r>
              <w:rPr>
                <w:rFonts w:hAnsi="宋体"/>
                <w:szCs w:val="21"/>
              </w:rPr>
              <w:t>网管方式</w:t>
            </w:r>
          </w:p>
        </w:tc>
        <w:tc>
          <w:tcPr>
            <w:tcW w:w="6711" w:type="dxa"/>
            <w:gridSpan w:val="2"/>
            <w:vAlign w:val="center"/>
          </w:tcPr>
          <w:p w14:paraId="340B1F9A">
            <w:pPr>
              <w:pStyle w:val="6"/>
              <w:tabs>
                <w:tab w:val="left" w:pos="26"/>
              </w:tabs>
              <w:topLinePunct/>
              <w:snapToGrid w:val="0"/>
              <w:spacing w:before="100" w:after="100" w:line="240" w:lineRule="auto"/>
              <w:ind w:left="0" w:right="0"/>
              <w:jc w:val="center"/>
              <w:rPr>
                <w:szCs w:val="21"/>
              </w:rPr>
            </w:pPr>
            <w:r>
              <w:rPr>
                <w:szCs w:val="21"/>
              </w:rPr>
              <w:t>SNMP</w:t>
            </w:r>
            <w:r>
              <w:rPr>
                <w:rFonts w:hAnsi="宋体"/>
                <w:szCs w:val="21"/>
              </w:rPr>
              <w:t>、</w:t>
            </w:r>
            <w:r>
              <w:rPr>
                <w:szCs w:val="21"/>
              </w:rPr>
              <w:t>MIB</w:t>
            </w:r>
            <w:r>
              <w:rPr>
                <w:rFonts w:hAnsi="宋体"/>
                <w:szCs w:val="21"/>
              </w:rPr>
              <w:t>、</w:t>
            </w:r>
            <w:r>
              <w:rPr>
                <w:szCs w:val="21"/>
              </w:rPr>
              <w:t>SYSLOG</w:t>
            </w:r>
            <w:r>
              <w:rPr>
                <w:rFonts w:hAnsi="宋体"/>
                <w:szCs w:val="21"/>
              </w:rPr>
              <w:t>、</w:t>
            </w:r>
            <w:r>
              <w:rPr>
                <w:szCs w:val="21"/>
              </w:rPr>
              <w:t>RMON</w:t>
            </w:r>
            <w:r>
              <w:rPr>
                <w:rFonts w:hAnsi="宋体"/>
                <w:szCs w:val="21"/>
              </w:rPr>
              <w:t>、</w:t>
            </w:r>
            <w:r>
              <w:rPr>
                <w:szCs w:val="21"/>
              </w:rPr>
              <w:t>WEB</w:t>
            </w:r>
            <w:r>
              <w:rPr>
                <w:rFonts w:hAnsi="宋体"/>
                <w:szCs w:val="21"/>
              </w:rPr>
              <w:t>网管</w:t>
            </w:r>
          </w:p>
        </w:tc>
      </w:tr>
      <w:tr w14:paraId="2ABBE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1EA75D84">
            <w:pPr>
              <w:pStyle w:val="6"/>
              <w:tabs>
                <w:tab w:val="left" w:pos="26"/>
              </w:tabs>
              <w:topLinePunct/>
              <w:snapToGrid w:val="0"/>
              <w:spacing w:before="100" w:after="100" w:line="240" w:lineRule="auto"/>
              <w:ind w:left="0" w:right="0"/>
              <w:jc w:val="center"/>
              <w:rPr>
                <w:szCs w:val="21"/>
              </w:rPr>
            </w:pPr>
            <w:r>
              <w:rPr>
                <w:szCs w:val="21"/>
              </w:rPr>
              <w:t>9</w:t>
            </w:r>
          </w:p>
        </w:tc>
        <w:tc>
          <w:tcPr>
            <w:tcW w:w="898" w:type="dxa"/>
            <w:vAlign w:val="center"/>
          </w:tcPr>
          <w:p w14:paraId="2EE6D02C">
            <w:pPr>
              <w:pStyle w:val="6"/>
              <w:tabs>
                <w:tab w:val="left" w:pos="26"/>
              </w:tabs>
              <w:topLinePunct/>
              <w:snapToGrid w:val="0"/>
              <w:spacing w:before="100" w:after="100" w:line="240" w:lineRule="auto"/>
              <w:ind w:left="0" w:right="0"/>
              <w:jc w:val="center"/>
              <w:rPr>
                <w:szCs w:val="21"/>
              </w:rPr>
            </w:pPr>
            <w:r>
              <w:rPr>
                <w:rFonts w:hAnsi="宋体"/>
                <w:szCs w:val="21"/>
              </w:rPr>
              <w:t>接口类型支持</w:t>
            </w:r>
          </w:p>
        </w:tc>
        <w:tc>
          <w:tcPr>
            <w:tcW w:w="6711" w:type="dxa"/>
            <w:gridSpan w:val="2"/>
            <w:vAlign w:val="center"/>
          </w:tcPr>
          <w:p w14:paraId="5B551BD0">
            <w:pPr>
              <w:pStyle w:val="6"/>
              <w:tabs>
                <w:tab w:val="left" w:pos="26"/>
              </w:tabs>
              <w:topLinePunct/>
              <w:snapToGrid w:val="0"/>
              <w:spacing w:before="100" w:after="100" w:line="240" w:lineRule="auto"/>
              <w:ind w:left="0" w:right="0"/>
              <w:jc w:val="center"/>
              <w:rPr>
                <w:szCs w:val="21"/>
              </w:rPr>
            </w:pPr>
            <w:r>
              <w:rPr>
                <w:szCs w:val="21"/>
              </w:rPr>
              <w:t>1000M</w:t>
            </w:r>
            <w:r>
              <w:rPr>
                <w:rFonts w:hAnsi="宋体"/>
                <w:szCs w:val="21"/>
              </w:rPr>
              <w:t>光</w:t>
            </w:r>
            <w:r>
              <w:rPr>
                <w:szCs w:val="21"/>
              </w:rPr>
              <w:t>/</w:t>
            </w:r>
            <w:r>
              <w:rPr>
                <w:rFonts w:hAnsi="宋体"/>
                <w:szCs w:val="21"/>
              </w:rPr>
              <w:t>电</w:t>
            </w:r>
            <w:r>
              <w:rPr>
                <w:szCs w:val="21"/>
              </w:rPr>
              <w:t>Combo</w:t>
            </w:r>
            <w:r>
              <w:rPr>
                <w:rFonts w:hAnsi="宋体"/>
                <w:szCs w:val="21"/>
              </w:rPr>
              <w:t>：</w:t>
            </w:r>
            <w:r>
              <w:rPr>
                <w:szCs w:val="21"/>
              </w:rPr>
              <w:t>3</w:t>
            </w:r>
            <w:r>
              <w:rPr>
                <w:rFonts w:hAnsi="宋体"/>
                <w:szCs w:val="21"/>
              </w:rPr>
              <w:t>个；</w:t>
            </w:r>
          </w:p>
          <w:p w14:paraId="4A3223F8">
            <w:pPr>
              <w:pStyle w:val="6"/>
              <w:tabs>
                <w:tab w:val="left" w:pos="26"/>
              </w:tabs>
              <w:topLinePunct/>
              <w:snapToGrid w:val="0"/>
              <w:spacing w:before="100" w:after="100" w:line="240" w:lineRule="auto"/>
              <w:ind w:left="0" w:right="0"/>
              <w:jc w:val="center"/>
              <w:rPr>
                <w:szCs w:val="21"/>
              </w:rPr>
            </w:pPr>
            <w:r>
              <w:rPr>
                <w:szCs w:val="21"/>
              </w:rPr>
              <w:t>E1</w:t>
            </w:r>
            <w:r>
              <w:rPr>
                <w:rFonts w:hAnsi="宋体"/>
                <w:szCs w:val="21"/>
              </w:rPr>
              <w:t>接口：不少于</w:t>
            </w:r>
            <w:r>
              <w:rPr>
                <w:szCs w:val="21"/>
              </w:rPr>
              <w:t>2</w:t>
            </w:r>
            <w:r>
              <w:rPr>
                <w:rFonts w:hAnsi="宋体"/>
                <w:szCs w:val="21"/>
              </w:rPr>
              <w:t>个</w:t>
            </w:r>
          </w:p>
        </w:tc>
      </w:tr>
      <w:tr w14:paraId="4A135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Align w:val="center"/>
          </w:tcPr>
          <w:p w14:paraId="26FFE428">
            <w:pPr>
              <w:pStyle w:val="6"/>
              <w:tabs>
                <w:tab w:val="left" w:pos="26"/>
              </w:tabs>
              <w:topLinePunct/>
              <w:snapToGrid w:val="0"/>
              <w:spacing w:before="100" w:after="100" w:line="240" w:lineRule="auto"/>
              <w:ind w:left="0" w:right="0"/>
              <w:jc w:val="center"/>
              <w:rPr>
                <w:szCs w:val="21"/>
              </w:rPr>
            </w:pPr>
            <w:r>
              <w:rPr>
                <w:szCs w:val="21"/>
              </w:rPr>
              <w:t>10</w:t>
            </w:r>
          </w:p>
        </w:tc>
        <w:tc>
          <w:tcPr>
            <w:tcW w:w="898" w:type="dxa"/>
            <w:vAlign w:val="center"/>
          </w:tcPr>
          <w:p w14:paraId="4B61B716">
            <w:pPr>
              <w:pStyle w:val="6"/>
              <w:tabs>
                <w:tab w:val="left" w:pos="26"/>
              </w:tabs>
              <w:topLinePunct/>
              <w:snapToGrid w:val="0"/>
              <w:spacing w:before="100" w:after="100" w:line="240" w:lineRule="auto"/>
              <w:ind w:left="0" w:right="0"/>
              <w:jc w:val="center"/>
              <w:rPr>
                <w:szCs w:val="21"/>
              </w:rPr>
            </w:pPr>
            <w:r>
              <w:rPr>
                <w:rFonts w:hAnsi="宋体"/>
                <w:szCs w:val="21"/>
              </w:rPr>
              <w:t>环境要求</w:t>
            </w:r>
          </w:p>
        </w:tc>
        <w:tc>
          <w:tcPr>
            <w:tcW w:w="6711" w:type="dxa"/>
            <w:gridSpan w:val="2"/>
            <w:vAlign w:val="center"/>
          </w:tcPr>
          <w:p w14:paraId="328A427B">
            <w:pPr>
              <w:pStyle w:val="6"/>
              <w:tabs>
                <w:tab w:val="left" w:pos="26"/>
              </w:tabs>
              <w:topLinePunct/>
              <w:snapToGrid w:val="0"/>
              <w:spacing w:before="100" w:after="100" w:line="240" w:lineRule="auto"/>
              <w:ind w:left="0" w:right="0"/>
              <w:jc w:val="center"/>
              <w:rPr>
                <w:szCs w:val="21"/>
              </w:rPr>
            </w:pPr>
            <w:r>
              <w:rPr>
                <w:rFonts w:hAnsi="宋体"/>
                <w:szCs w:val="21"/>
              </w:rPr>
              <w:t>工作温度：</w:t>
            </w:r>
            <w:r>
              <w:rPr>
                <w:szCs w:val="21"/>
              </w:rPr>
              <w:t>-10</w:t>
            </w:r>
            <w:r>
              <w:rPr>
                <w:rFonts w:ascii="宋体" w:hAnsi="宋体"/>
                <w:szCs w:val="21"/>
              </w:rPr>
              <w:t>℃</w:t>
            </w:r>
            <w:r>
              <w:rPr>
                <w:rFonts w:hAnsi="宋体"/>
                <w:szCs w:val="21"/>
              </w:rPr>
              <w:t>～</w:t>
            </w:r>
            <w:r>
              <w:rPr>
                <w:szCs w:val="21"/>
              </w:rPr>
              <w:t>+50</w:t>
            </w:r>
            <w:r>
              <w:rPr>
                <w:rFonts w:hAnsi="宋体"/>
                <w:szCs w:val="21"/>
              </w:rPr>
              <w:t>℃；</w:t>
            </w:r>
          </w:p>
          <w:p w14:paraId="4E715219">
            <w:pPr>
              <w:pStyle w:val="6"/>
              <w:tabs>
                <w:tab w:val="left" w:pos="26"/>
              </w:tabs>
              <w:topLinePunct/>
              <w:snapToGrid w:val="0"/>
              <w:spacing w:before="100" w:after="100" w:line="240" w:lineRule="auto"/>
              <w:ind w:left="0" w:right="0"/>
              <w:jc w:val="center"/>
              <w:rPr>
                <w:szCs w:val="21"/>
              </w:rPr>
            </w:pPr>
            <w:r>
              <w:rPr>
                <w:rFonts w:hAnsi="宋体"/>
                <w:szCs w:val="21"/>
              </w:rPr>
              <w:t>相对湿度：</w:t>
            </w:r>
            <w:r>
              <w:rPr>
                <w:szCs w:val="21"/>
              </w:rPr>
              <w:t>5</w:t>
            </w:r>
            <w:r>
              <w:rPr>
                <w:rFonts w:hAnsi="宋体"/>
                <w:szCs w:val="21"/>
              </w:rPr>
              <w:t>％～</w:t>
            </w:r>
            <w:r>
              <w:rPr>
                <w:szCs w:val="21"/>
              </w:rPr>
              <w:t>90</w:t>
            </w:r>
            <w:r>
              <w:rPr>
                <w:rFonts w:hAnsi="宋体"/>
                <w:szCs w:val="21"/>
              </w:rPr>
              <w:t>％无凝结</w:t>
            </w:r>
          </w:p>
        </w:tc>
      </w:tr>
    </w:tbl>
    <w:p w14:paraId="11178552">
      <w:pPr>
        <w:snapToGrid w:val="0"/>
        <w:spacing w:line="440" w:lineRule="exact"/>
        <w:ind w:firstLine="482"/>
        <w:rPr>
          <w:rFonts w:ascii="宋体" w:hAnsi="宋体" w:cs="宋体"/>
          <w:b/>
          <w:color w:val="000000"/>
          <w:sz w:val="24"/>
        </w:rPr>
      </w:pPr>
    </w:p>
    <w:p w14:paraId="7DC04EA8">
      <w:pPr>
        <w:snapToGrid w:val="0"/>
        <w:spacing w:line="440" w:lineRule="exact"/>
        <w:ind w:firstLine="0" w:firstLineChars="0"/>
        <w:jc w:val="both"/>
        <w:outlineLvl w:val="1"/>
        <w:rPr>
          <w:rFonts w:ascii="宋体" w:hAnsi="宋体" w:cs="宋体"/>
          <w:b/>
          <w:color w:val="000000"/>
          <w:sz w:val="24"/>
        </w:rPr>
      </w:pPr>
      <w:bookmarkStart w:id="26" w:name="_Toc169078723"/>
      <w:r>
        <w:rPr>
          <w:rFonts w:hint="eastAsia" w:ascii="宋体" w:hAnsi="宋体" w:cs="宋体"/>
          <w:b/>
          <w:color w:val="000000"/>
          <w:sz w:val="24"/>
        </w:rPr>
        <w:t>4.</w:t>
      </w:r>
      <w:r>
        <w:rPr>
          <w:rFonts w:ascii="宋体" w:hAnsi="宋体" w:cs="宋体"/>
          <w:b/>
          <w:color w:val="000000"/>
          <w:sz w:val="24"/>
        </w:rPr>
        <w:t>4</w:t>
      </w:r>
      <w:r>
        <w:rPr>
          <w:rFonts w:hint="eastAsia" w:ascii="宋体" w:hAnsi="宋体" w:cs="宋体"/>
          <w:b/>
          <w:color w:val="000000"/>
          <w:sz w:val="24"/>
        </w:rPr>
        <w:t xml:space="preserve"> 省调、地调交换机</w:t>
      </w:r>
      <w:bookmarkEnd w:id="26"/>
    </w:p>
    <w:p w14:paraId="5FEED735">
      <w:pPr>
        <w:pStyle w:val="5"/>
        <w:ind w:firstLine="482"/>
        <w:rPr>
          <w:b/>
        </w:rPr>
      </w:pPr>
      <w:r>
        <w:rPr>
          <w:b/>
        </w:rPr>
        <w:t>表2 调度数据网设备—交换机标准技术参数表</w:t>
      </w:r>
    </w:p>
    <w:tbl>
      <w:tblPr>
        <w:tblStyle w:val="15"/>
        <w:tblW w:w="8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00"/>
        <w:gridCol w:w="3032"/>
        <w:gridCol w:w="3327"/>
      </w:tblGrid>
      <w:tr w14:paraId="711EA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1" w:type="dxa"/>
            <w:vAlign w:val="center"/>
          </w:tcPr>
          <w:p w14:paraId="5CE7B7DA">
            <w:pPr>
              <w:pStyle w:val="6"/>
              <w:tabs>
                <w:tab w:val="left" w:pos="26"/>
              </w:tabs>
              <w:topLinePunct/>
              <w:snapToGrid w:val="0"/>
              <w:spacing w:before="100" w:after="100" w:line="240" w:lineRule="auto"/>
              <w:ind w:left="0" w:right="0"/>
              <w:jc w:val="center"/>
              <w:rPr>
                <w:szCs w:val="21"/>
              </w:rPr>
            </w:pPr>
            <w:r>
              <w:rPr>
                <w:rFonts w:hAnsi="宋体"/>
                <w:szCs w:val="21"/>
              </w:rPr>
              <w:t>序号</w:t>
            </w:r>
          </w:p>
        </w:tc>
        <w:tc>
          <w:tcPr>
            <w:tcW w:w="7859" w:type="dxa"/>
            <w:gridSpan w:val="3"/>
            <w:vAlign w:val="center"/>
          </w:tcPr>
          <w:p w14:paraId="752182B4">
            <w:pPr>
              <w:pStyle w:val="6"/>
              <w:tabs>
                <w:tab w:val="left" w:pos="26"/>
              </w:tabs>
              <w:topLinePunct/>
              <w:snapToGrid w:val="0"/>
              <w:spacing w:before="100" w:after="100" w:line="240" w:lineRule="auto"/>
              <w:ind w:left="0" w:right="0"/>
              <w:jc w:val="center"/>
              <w:rPr>
                <w:szCs w:val="21"/>
              </w:rPr>
            </w:pPr>
            <w:r>
              <w:rPr>
                <w:rFonts w:hAnsi="宋体"/>
                <w:szCs w:val="21"/>
              </w:rPr>
              <w:t>特  性  指  标</w:t>
            </w:r>
          </w:p>
        </w:tc>
      </w:tr>
      <w:tr w14:paraId="490D2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33C3D877">
            <w:pPr>
              <w:pStyle w:val="6"/>
              <w:tabs>
                <w:tab w:val="left" w:pos="26"/>
              </w:tabs>
              <w:topLinePunct/>
              <w:snapToGrid w:val="0"/>
              <w:spacing w:before="100" w:after="100" w:line="240" w:lineRule="auto"/>
              <w:ind w:left="0" w:right="0"/>
              <w:jc w:val="center"/>
              <w:rPr>
                <w:szCs w:val="21"/>
              </w:rPr>
            </w:pPr>
            <w:r>
              <w:rPr>
                <w:szCs w:val="21"/>
              </w:rPr>
              <w:t>1</w:t>
            </w:r>
          </w:p>
        </w:tc>
        <w:tc>
          <w:tcPr>
            <w:tcW w:w="1500" w:type="dxa"/>
            <w:vAlign w:val="center"/>
          </w:tcPr>
          <w:p w14:paraId="58C19AA3">
            <w:pPr>
              <w:pStyle w:val="6"/>
              <w:tabs>
                <w:tab w:val="left" w:pos="26"/>
              </w:tabs>
              <w:topLinePunct/>
              <w:snapToGrid w:val="0"/>
              <w:spacing w:before="100" w:after="100" w:line="240" w:lineRule="auto"/>
              <w:ind w:left="0" w:right="0"/>
              <w:jc w:val="center"/>
              <w:rPr>
                <w:szCs w:val="21"/>
              </w:rPr>
            </w:pPr>
            <w:r>
              <w:rPr>
                <w:rFonts w:hAnsi="宋体"/>
                <w:szCs w:val="21"/>
              </w:rPr>
              <w:t>外型尺寸</w:t>
            </w:r>
          </w:p>
        </w:tc>
        <w:tc>
          <w:tcPr>
            <w:tcW w:w="6359" w:type="dxa"/>
            <w:gridSpan w:val="2"/>
            <w:vAlign w:val="center"/>
          </w:tcPr>
          <w:p w14:paraId="58D60090">
            <w:pPr>
              <w:pStyle w:val="6"/>
              <w:tabs>
                <w:tab w:val="left" w:pos="26"/>
              </w:tabs>
              <w:topLinePunct/>
              <w:snapToGrid w:val="0"/>
              <w:spacing w:before="100" w:after="100" w:line="240" w:lineRule="auto"/>
              <w:ind w:left="0" w:right="0"/>
              <w:jc w:val="center"/>
              <w:rPr>
                <w:szCs w:val="21"/>
              </w:rPr>
            </w:pPr>
            <w:r>
              <w:rPr>
                <w:szCs w:val="21"/>
              </w:rPr>
              <w:t>19</w:t>
            </w:r>
            <w:r>
              <w:rPr>
                <w:rFonts w:hAnsi="宋体"/>
                <w:szCs w:val="21"/>
              </w:rPr>
              <w:t>英寸机箱</w:t>
            </w:r>
          </w:p>
        </w:tc>
      </w:tr>
      <w:tr w14:paraId="3EB2A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371A39E4">
            <w:pPr>
              <w:pStyle w:val="6"/>
              <w:tabs>
                <w:tab w:val="left" w:pos="26"/>
              </w:tabs>
              <w:topLinePunct/>
              <w:snapToGrid w:val="0"/>
              <w:spacing w:before="100" w:after="100" w:line="240" w:lineRule="auto"/>
              <w:ind w:left="0" w:right="0"/>
              <w:jc w:val="center"/>
              <w:rPr>
                <w:szCs w:val="21"/>
              </w:rPr>
            </w:pPr>
            <w:r>
              <w:rPr>
                <w:szCs w:val="21"/>
              </w:rPr>
              <w:t>2</w:t>
            </w:r>
          </w:p>
        </w:tc>
        <w:tc>
          <w:tcPr>
            <w:tcW w:w="1500" w:type="dxa"/>
            <w:vAlign w:val="center"/>
          </w:tcPr>
          <w:p w14:paraId="77A05C09">
            <w:pPr>
              <w:pStyle w:val="6"/>
              <w:tabs>
                <w:tab w:val="left" w:pos="26"/>
              </w:tabs>
              <w:topLinePunct/>
              <w:snapToGrid w:val="0"/>
              <w:spacing w:before="100" w:after="100" w:line="240" w:lineRule="auto"/>
              <w:ind w:left="0" w:right="0"/>
              <w:jc w:val="center"/>
              <w:rPr>
                <w:szCs w:val="21"/>
              </w:rPr>
            </w:pPr>
            <w:r>
              <w:rPr>
                <w:rFonts w:hAnsi="宋体"/>
                <w:szCs w:val="21"/>
              </w:rPr>
              <w:t>可靠性</w:t>
            </w:r>
          </w:p>
        </w:tc>
        <w:tc>
          <w:tcPr>
            <w:tcW w:w="3032" w:type="dxa"/>
            <w:vAlign w:val="center"/>
          </w:tcPr>
          <w:p w14:paraId="581E6D0D">
            <w:pPr>
              <w:pStyle w:val="6"/>
              <w:tabs>
                <w:tab w:val="left" w:pos="26"/>
              </w:tabs>
              <w:topLinePunct/>
              <w:snapToGrid w:val="0"/>
              <w:spacing w:before="100" w:after="100" w:line="240" w:lineRule="auto"/>
              <w:ind w:left="0" w:right="0"/>
              <w:jc w:val="center"/>
              <w:rPr>
                <w:szCs w:val="21"/>
              </w:rPr>
            </w:pPr>
            <w:r>
              <w:rPr>
                <w:rFonts w:hAnsi="宋体"/>
                <w:szCs w:val="21"/>
              </w:rPr>
              <w:t>电源</w:t>
            </w:r>
          </w:p>
        </w:tc>
        <w:tc>
          <w:tcPr>
            <w:tcW w:w="3327" w:type="dxa"/>
            <w:vAlign w:val="center"/>
          </w:tcPr>
          <w:p w14:paraId="3A1F3B93">
            <w:pPr>
              <w:pStyle w:val="6"/>
              <w:tabs>
                <w:tab w:val="left" w:pos="26"/>
              </w:tabs>
              <w:topLinePunct/>
              <w:snapToGrid w:val="0"/>
              <w:spacing w:before="100" w:after="100" w:line="240" w:lineRule="auto"/>
              <w:ind w:left="0" w:right="0"/>
              <w:jc w:val="center"/>
              <w:rPr>
                <w:szCs w:val="21"/>
              </w:rPr>
            </w:pPr>
            <w:r>
              <w:rPr>
                <w:rFonts w:hAnsi="宋体"/>
                <w:szCs w:val="21"/>
              </w:rPr>
              <w:t>双路</w:t>
            </w:r>
            <w:r>
              <w:rPr>
                <w:szCs w:val="21"/>
              </w:rPr>
              <w:t>AC220V</w:t>
            </w:r>
            <w:r>
              <w:rPr>
                <w:rFonts w:hAnsi="宋体"/>
                <w:szCs w:val="21"/>
              </w:rPr>
              <w:t>供电</w:t>
            </w:r>
          </w:p>
        </w:tc>
      </w:tr>
      <w:tr w14:paraId="1B8A7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5EE5E67F">
            <w:pPr>
              <w:pStyle w:val="6"/>
              <w:tabs>
                <w:tab w:val="left" w:pos="26"/>
              </w:tabs>
              <w:topLinePunct/>
              <w:snapToGrid w:val="0"/>
              <w:spacing w:before="100" w:after="100" w:line="240" w:lineRule="auto"/>
              <w:ind w:left="0" w:right="0"/>
              <w:jc w:val="center"/>
              <w:rPr>
                <w:szCs w:val="21"/>
              </w:rPr>
            </w:pPr>
            <w:r>
              <w:rPr>
                <w:szCs w:val="21"/>
              </w:rPr>
              <w:t>3</w:t>
            </w:r>
          </w:p>
        </w:tc>
        <w:tc>
          <w:tcPr>
            <w:tcW w:w="1500" w:type="dxa"/>
            <w:vAlign w:val="center"/>
          </w:tcPr>
          <w:p w14:paraId="1DD451BD">
            <w:pPr>
              <w:pStyle w:val="6"/>
              <w:tabs>
                <w:tab w:val="left" w:pos="26"/>
              </w:tabs>
              <w:topLinePunct/>
              <w:snapToGrid w:val="0"/>
              <w:spacing w:before="100" w:after="100" w:line="240" w:lineRule="auto"/>
              <w:ind w:left="0" w:right="0"/>
              <w:jc w:val="center"/>
              <w:rPr>
                <w:szCs w:val="21"/>
              </w:rPr>
            </w:pPr>
            <w:r>
              <w:rPr>
                <w:rFonts w:hAnsi="宋体"/>
                <w:szCs w:val="21"/>
              </w:rPr>
              <w:t>处理能力</w:t>
            </w:r>
          </w:p>
        </w:tc>
        <w:tc>
          <w:tcPr>
            <w:tcW w:w="3032" w:type="dxa"/>
            <w:vAlign w:val="center"/>
          </w:tcPr>
          <w:p w14:paraId="3AC15728">
            <w:pPr>
              <w:pStyle w:val="6"/>
              <w:tabs>
                <w:tab w:val="left" w:pos="26"/>
              </w:tabs>
              <w:topLinePunct/>
              <w:snapToGrid w:val="0"/>
              <w:spacing w:before="100" w:after="100" w:line="240" w:lineRule="auto"/>
              <w:ind w:left="0" w:right="0"/>
              <w:jc w:val="center"/>
              <w:rPr>
                <w:szCs w:val="21"/>
              </w:rPr>
            </w:pPr>
            <w:r>
              <w:rPr>
                <w:rFonts w:hAnsi="宋体"/>
                <w:szCs w:val="21"/>
              </w:rPr>
              <w:t>包转发率</w:t>
            </w:r>
          </w:p>
        </w:tc>
        <w:tc>
          <w:tcPr>
            <w:tcW w:w="3327" w:type="dxa"/>
            <w:vAlign w:val="center"/>
          </w:tcPr>
          <w:p w14:paraId="7F66D692">
            <w:pPr>
              <w:pStyle w:val="6"/>
              <w:tabs>
                <w:tab w:val="left" w:pos="-4051"/>
              </w:tabs>
              <w:topLinePunct/>
              <w:snapToGrid w:val="0"/>
              <w:spacing w:before="100" w:after="100" w:line="240" w:lineRule="auto"/>
              <w:ind w:left="0" w:right="0"/>
              <w:jc w:val="center"/>
              <w:rPr>
                <w:szCs w:val="21"/>
              </w:rPr>
            </w:pPr>
            <w:r>
              <w:rPr>
                <w:szCs w:val="21"/>
              </w:rPr>
              <w:t>≥9.52Mpps</w:t>
            </w:r>
          </w:p>
        </w:tc>
      </w:tr>
      <w:tr w14:paraId="219E0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Merge w:val="restart"/>
            <w:vAlign w:val="center"/>
          </w:tcPr>
          <w:p w14:paraId="1AF19227">
            <w:pPr>
              <w:pStyle w:val="6"/>
              <w:tabs>
                <w:tab w:val="left" w:pos="26"/>
              </w:tabs>
              <w:topLinePunct/>
              <w:snapToGrid w:val="0"/>
              <w:spacing w:before="60" w:after="60" w:line="240" w:lineRule="auto"/>
              <w:ind w:left="0" w:right="0"/>
              <w:jc w:val="center"/>
              <w:rPr>
                <w:szCs w:val="21"/>
              </w:rPr>
            </w:pPr>
            <w:r>
              <w:rPr>
                <w:szCs w:val="21"/>
              </w:rPr>
              <w:t>4</w:t>
            </w:r>
          </w:p>
          <w:p w14:paraId="5F7A34C5">
            <w:pPr>
              <w:pStyle w:val="6"/>
              <w:tabs>
                <w:tab w:val="left" w:pos="26"/>
              </w:tabs>
              <w:topLinePunct/>
              <w:snapToGrid w:val="0"/>
              <w:spacing w:before="60" w:after="60" w:line="240" w:lineRule="auto"/>
              <w:ind w:left="0" w:right="0"/>
              <w:jc w:val="center"/>
              <w:rPr>
                <w:szCs w:val="21"/>
              </w:rPr>
            </w:pPr>
          </w:p>
        </w:tc>
        <w:tc>
          <w:tcPr>
            <w:tcW w:w="1500" w:type="dxa"/>
            <w:vMerge w:val="restart"/>
            <w:vAlign w:val="center"/>
          </w:tcPr>
          <w:p w14:paraId="03FF53F4">
            <w:pPr>
              <w:pStyle w:val="6"/>
              <w:tabs>
                <w:tab w:val="left" w:pos="26"/>
              </w:tabs>
              <w:topLinePunct/>
              <w:snapToGrid w:val="0"/>
              <w:spacing w:before="60" w:after="60" w:line="240" w:lineRule="auto"/>
              <w:ind w:left="0" w:right="0"/>
              <w:jc w:val="center"/>
              <w:rPr>
                <w:szCs w:val="21"/>
              </w:rPr>
            </w:pPr>
            <w:r>
              <w:rPr>
                <w:rFonts w:hAnsi="宋体"/>
                <w:szCs w:val="21"/>
              </w:rPr>
              <w:t>处理能力</w:t>
            </w:r>
          </w:p>
        </w:tc>
        <w:tc>
          <w:tcPr>
            <w:tcW w:w="3032" w:type="dxa"/>
            <w:vAlign w:val="center"/>
          </w:tcPr>
          <w:p w14:paraId="33303424">
            <w:pPr>
              <w:pStyle w:val="6"/>
              <w:tabs>
                <w:tab w:val="left" w:pos="26"/>
              </w:tabs>
              <w:topLinePunct/>
              <w:snapToGrid w:val="0"/>
              <w:spacing w:before="60" w:after="60" w:line="240" w:lineRule="auto"/>
              <w:ind w:left="0" w:right="0"/>
              <w:jc w:val="center"/>
              <w:rPr>
                <w:szCs w:val="21"/>
              </w:rPr>
            </w:pPr>
            <w:r>
              <w:rPr>
                <w:rFonts w:hAnsi="宋体"/>
                <w:szCs w:val="21"/>
              </w:rPr>
              <w:t>背板</w:t>
            </w:r>
          </w:p>
        </w:tc>
        <w:tc>
          <w:tcPr>
            <w:tcW w:w="3327" w:type="dxa"/>
            <w:vAlign w:val="center"/>
          </w:tcPr>
          <w:p w14:paraId="5E503F8A">
            <w:pPr>
              <w:pStyle w:val="6"/>
              <w:tabs>
                <w:tab w:val="left" w:pos="26"/>
              </w:tabs>
              <w:topLinePunct/>
              <w:snapToGrid w:val="0"/>
              <w:spacing w:before="60" w:after="60" w:line="240" w:lineRule="auto"/>
              <w:ind w:left="0" w:right="0"/>
              <w:jc w:val="center"/>
              <w:rPr>
                <w:szCs w:val="21"/>
              </w:rPr>
            </w:pPr>
            <w:r>
              <w:rPr>
                <w:szCs w:val="21"/>
              </w:rPr>
              <w:t>≥32G</w:t>
            </w:r>
          </w:p>
        </w:tc>
      </w:tr>
      <w:tr w14:paraId="59EA6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Merge w:val="continue"/>
            <w:vAlign w:val="center"/>
          </w:tcPr>
          <w:p w14:paraId="2B0BEECF">
            <w:pPr>
              <w:pStyle w:val="6"/>
              <w:tabs>
                <w:tab w:val="left" w:pos="26"/>
              </w:tabs>
              <w:topLinePunct/>
              <w:snapToGrid w:val="0"/>
              <w:spacing w:before="60" w:after="60" w:line="240" w:lineRule="auto"/>
              <w:ind w:left="0" w:right="0"/>
              <w:jc w:val="center"/>
              <w:rPr>
                <w:szCs w:val="21"/>
              </w:rPr>
            </w:pPr>
          </w:p>
        </w:tc>
        <w:tc>
          <w:tcPr>
            <w:tcW w:w="1500" w:type="dxa"/>
            <w:vMerge w:val="continue"/>
            <w:vAlign w:val="center"/>
          </w:tcPr>
          <w:p w14:paraId="5B423AEC">
            <w:pPr>
              <w:pStyle w:val="6"/>
              <w:tabs>
                <w:tab w:val="left" w:pos="26"/>
              </w:tabs>
              <w:topLinePunct/>
              <w:snapToGrid w:val="0"/>
              <w:spacing w:before="60" w:after="60" w:line="240" w:lineRule="auto"/>
              <w:ind w:left="0" w:right="0"/>
              <w:jc w:val="center"/>
              <w:rPr>
                <w:szCs w:val="21"/>
              </w:rPr>
            </w:pPr>
          </w:p>
        </w:tc>
        <w:tc>
          <w:tcPr>
            <w:tcW w:w="3032" w:type="dxa"/>
            <w:vAlign w:val="center"/>
          </w:tcPr>
          <w:p w14:paraId="20FDEF3E">
            <w:pPr>
              <w:pStyle w:val="6"/>
              <w:tabs>
                <w:tab w:val="left" w:pos="26"/>
              </w:tabs>
              <w:topLinePunct/>
              <w:snapToGrid w:val="0"/>
              <w:spacing w:before="60" w:after="60" w:line="240" w:lineRule="auto"/>
              <w:ind w:left="0" w:right="0"/>
              <w:jc w:val="center"/>
              <w:rPr>
                <w:szCs w:val="21"/>
              </w:rPr>
            </w:pPr>
            <w:r>
              <w:rPr>
                <w:rFonts w:hAnsi="宋体"/>
                <w:szCs w:val="21"/>
              </w:rPr>
              <w:t>内存</w:t>
            </w:r>
          </w:p>
        </w:tc>
        <w:tc>
          <w:tcPr>
            <w:tcW w:w="3327" w:type="dxa"/>
            <w:vAlign w:val="center"/>
          </w:tcPr>
          <w:p w14:paraId="4C41CDD6">
            <w:pPr>
              <w:pStyle w:val="6"/>
              <w:tabs>
                <w:tab w:val="left" w:pos="26"/>
              </w:tabs>
              <w:topLinePunct/>
              <w:snapToGrid w:val="0"/>
              <w:spacing w:before="60" w:after="60" w:line="240" w:lineRule="auto"/>
              <w:ind w:left="0" w:right="0"/>
              <w:jc w:val="center"/>
              <w:rPr>
                <w:szCs w:val="21"/>
              </w:rPr>
            </w:pPr>
            <w:r>
              <w:rPr>
                <w:szCs w:val="21"/>
              </w:rPr>
              <w:t>≥32MB</w:t>
            </w:r>
          </w:p>
        </w:tc>
      </w:tr>
      <w:tr w14:paraId="045E2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Merge w:val="continue"/>
            <w:vAlign w:val="center"/>
          </w:tcPr>
          <w:p w14:paraId="34B90882">
            <w:pPr>
              <w:pStyle w:val="6"/>
              <w:tabs>
                <w:tab w:val="left" w:pos="26"/>
              </w:tabs>
              <w:topLinePunct/>
              <w:snapToGrid w:val="0"/>
              <w:spacing w:before="60" w:after="60" w:line="240" w:lineRule="auto"/>
              <w:ind w:left="0" w:right="0"/>
              <w:jc w:val="center"/>
              <w:rPr>
                <w:szCs w:val="21"/>
              </w:rPr>
            </w:pPr>
          </w:p>
        </w:tc>
        <w:tc>
          <w:tcPr>
            <w:tcW w:w="1500" w:type="dxa"/>
            <w:vMerge w:val="continue"/>
            <w:vAlign w:val="center"/>
          </w:tcPr>
          <w:p w14:paraId="14B9D38E">
            <w:pPr>
              <w:pStyle w:val="6"/>
              <w:tabs>
                <w:tab w:val="left" w:pos="26"/>
              </w:tabs>
              <w:topLinePunct/>
              <w:snapToGrid w:val="0"/>
              <w:spacing w:before="60" w:after="60" w:line="240" w:lineRule="auto"/>
              <w:ind w:left="0" w:right="0"/>
              <w:jc w:val="center"/>
              <w:rPr>
                <w:szCs w:val="21"/>
              </w:rPr>
            </w:pPr>
          </w:p>
        </w:tc>
        <w:tc>
          <w:tcPr>
            <w:tcW w:w="3032" w:type="dxa"/>
            <w:vAlign w:val="center"/>
          </w:tcPr>
          <w:p w14:paraId="18118DCA">
            <w:pPr>
              <w:pStyle w:val="6"/>
              <w:tabs>
                <w:tab w:val="left" w:pos="26"/>
              </w:tabs>
              <w:topLinePunct/>
              <w:snapToGrid w:val="0"/>
              <w:spacing w:before="60" w:after="60" w:line="240" w:lineRule="auto"/>
              <w:ind w:left="0" w:right="0"/>
              <w:jc w:val="center"/>
              <w:rPr>
                <w:szCs w:val="21"/>
              </w:rPr>
            </w:pPr>
            <w:r>
              <w:rPr>
                <w:rFonts w:hAnsi="宋体"/>
                <w:szCs w:val="21"/>
              </w:rPr>
              <w:t>帧丢失率</w:t>
            </w:r>
          </w:p>
        </w:tc>
        <w:tc>
          <w:tcPr>
            <w:tcW w:w="3327" w:type="dxa"/>
            <w:vAlign w:val="center"/>
          </w:tcPr>
          <w:p w14:paraId="3F2DF9F4">
            <w:pPr>
              <w:pStyle w:val="6"/>
              <w:tabs>
                <w:tab w:val="left" w:pos="26"/>
              </w:tabs>
              <w:topLinePunct/>
              <w:snapToGrid w:val="0"/>
              <w:spacing w:before="60" w:after="60" w:line="240" w:lineRule="auto"/>
              <w:ind w:left="0" w:right="0"/>
              <w:jc w:val="center"/>
              <w:rPr>
                <w:szCs w:val="21"/>
              </w:rPr>
            </w:pPr>
            <w:r>
              <w:rPr>
                <w:szCs w:val="21"/>
              </w:rPr>
              <w:t>0</w:t>
            </w:r>
          </w:p>
        </w:tc>
      </w:tr>
      <w:tr w14:paraId="53153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Merge w:val="continue"/>
            <w:vAlign w:val="center"/>
          </w:tcPr>
          <w:p w14:paraId="58439592">
            <w:pPr>
              <w:pStyle w:val="6"/>
              <w:tabs>
                <w:tab w:val="left" w:pos="26"/>
              </w:tabs>
              <w:topLinePunct/>
              <w:snapToGrid w:val="0"/>
              <w:spacing w:before="60" w:after="60" w:line="240" w:lineRule="auto"/>
              <w:ind w:left="0" w:right="0"/>
              <w:jc w:val="center"/>
              <w:rPr>
                <w:szCs w:val="21"/>
              </w:rPr>
            </w:pPr>
          </w:p>
        </w:tc>
        <w:tc>
          <w:tcPr>
            <w:tcW w:w="1500" w:type="dxa"/>
            <w:vMerge w:val="continue"/>
            <w:vAlign w:val="center"/>
          </w:tcPr>
          <w:p w14:paraId="07358BD8">
            <w:pPr>
              <w:pStyle w:val="6"/>
              <w:tabs>
                <w:tab w:val="left" w:pos="26"/>
              </w:tabs>
              <w:topLinePunct/>
              <w:snapToGrid w:val="0"/>
              <w:spacing w:before="60" w:after="60" w:line="240" w:lineRule="auto"/>
              <w:ind w:left="0" w:right="0"/>
              <w:jc w:val="center"/>
              <w:rPr>
                <w:szCs w:val="21"/>
              </w:rPr>
            </w:pPr>
          </w:p>
        </w:tc>
        <w:tc>
          <w:tcPr>
            <w:tcW w:w="3032" w:type="dxa"/>
            <w:vAlign w:val="center"/>
          </w:tcPr>
          <w:p w14:paraId="0DEEA914">
            <w:pPr>
              <w:pStyle w:val="6"/>
              <w:tabs>
                <w:tab w:val="left" w:pos="26"/>
              </w:tabs>
              <w:topLinePunct/>
              <w:snapToGrid w:val="0"/>
              <w:spacing w:before="60" w:after="60" w:line="240" w:lineRule="auto"/>
              <w:ind w:left="0" w:right="0"/>
              <w:jc w:val="center"/>
              <w:rPr>
                <w:szCs w:val="21"/>
              </w:rPr>
            </w:pPr>
            <w:r>
              <w:rPr>
                <w:rFonts w:hAnsi="宋体"/>
                <w:szCs w:val="21"/>
              </w:rPr>
              <w:t>转发时延</w:t>
            </w:r>
          </w:p>
        </w:tc>
        <w:tc>
          <w:tcPr>
            <w:tcW w:w="3327" w:type="dxa"/>
            <w:vAlign w:val="center"/>
          </w:tcPr>
          <w:p w14:paraId="74E60B74">
            <w:pPr>
              <w:pStyle w:val="6"/>
              <w:tabs>
                <w:tab w:val="left" w:pos="26"/>
              </w:tabs>
              <w:topLinePunct/>
              <w:snapToGrid w:val="0"/>
              <w:spacing w:before="60" w:after="60" w:line="240" w:lineRule="auto"/>
              <w:ind w:left="0" w:right="0"/>
              <w:jc w:val="center"/>
              <w:rPr>
                <w:szCs w:val="21"/>
              </w:rPr>
            </w:pPr>
            <w:r>
              <w:rPr>
                <w:szCs w:val="21"/>
              </w:rPr>
              <w:t>≤10μs</w:t>
            </w:r>
          </w:p>
        </w:tc>
      </w:tr>
      <w:tr w14:paraId="0E56C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Merge w:val="continue"/>
            <w:vAlign w:val="center"/>
          </w:tcPr>
          <w:p w14:paraId="3661BA71">
            <w:pPr>
              <w:pStyle w:val="6"/>
              <w:tabs>
                <w:tab w:val="left" w:pos="26"/>
              </w:tabs>
              <w:topLinePunct/>
              <w:snapToGrid w:val="0"/>
              <w:spacing w:before="60" w:after="60" w:line="240" w:lineRule="auto"/>
              <w:ind w:left="0" w:right="0"/>
              <w:jc w:val="center"/>
              <w:rPr>
                <w:szCs w:val="21"/>
              </w:rPr>
            </w:pPr>
          </w:p>
        </w:tc>
        <w:tc>
          <w:tcPr>
            <w:tcW w:w="1500" w:type="dxa"/>
            <w:vMerge w:val="continue"/>
            <w:vAlign w:val="center"/>
          </w:tcPr>
          <w:p w14:paraId="2CC2B7EF">
            <w:pPr>
              <w:pStyle w:val="6"/>
              <w:tabs>
                <w:tab w:val="left" w:pos="26"/>
              </w:tabs>
              <w:topLinePunct/>
              <w:snapToGrid w:val="0"/>
              <w:spacing w:before="60" w:after="60" w:line="240" w:lineRule="auto"/>
              <w:ind w:left="0" w:right="0"/>
              <w:jc w:val="center"/>
              <w:rPr>
                <w:szCs w:val="21"/>
              </w:rPr>
            </w:pPr>
          </w:p>
        </w:tc>
        <w:tc>
          <w:tcPr>
            <w:tcW w:w="3032" w:type="dxa"/>
            <w:vAlign w:val="center"/>
          </w:tcPr>
          <w:p w14:paraId="75A7D5D4">
            <w:pPr>
              <w:pStyle w:val="6"/>
              <w:tabs>
                <w:tab w:val="left" w:pos="26"/>
              </w:tabs>
              <w:topLinePunct/>
              <w:snapToGrid w:val="0"/>
              <w:spacing w:before="60" w:after="60" w:line="240" w:lineRule="auto"/>
              <w:ind w:left="0" w:right="0"/>
              <w:jc w:val="center"/>
              <w:rPr>
                <w:szCs w:val="21"/>
              </w:rPr>
            </w:pPr>
            <w:r>
              <w:rPr>
                <w:szCs w:val="21"/>
              </w:rPr>
              <w:t>MAC</w:t>
            </w:r>
            <w:r>
              <w:rPr>
                <w:rFonts w:hAnsi="宋体"/>
                <w:szCs w:val="21"/>
              </w:rPr>
              <w:t>地址学习速率</w:t>
            </w:r>
          </w:p>
        </w:tc>
        <w:tc>
          <w:tcPr>
            <w:tcW w:w="3327" w:type="dxa"/>
            <w:vAlign w:val="center"/>
          </w:tcPr>
          <w:p w14:paraId="0CF59545">
            <w:pPr>
              <w:pStyle w:val="6"/>
              <w:tabs>
                <w:tab w:val="left" w:pos="26"/>
              </w:tabs>
              <w:topLinePunct/>
              <w:snapToGrid w:val="0"/>
              <w:spacing w:before="60" w:after="60" w:line="240" w:lineRule="auto"/>
              <w:ind w:left="0" w:right="0"/>
              <w:jc w:val="center"/>
              <w:rPr>
                <w:szCs w:val="21"/>
              </w:rPr>
            </w:pPr>
            <w:r>
              <w:rPr>
                <w:szCs w:val="21"/>
              </w:rPr>
              <w:t>≥1000</w:t>
            </w:r>
            <w:r>
              <w:rPr>
                <w:rFonts w:hAnsi="宋体"/>
                <w:szCs w:val="21"/>
              </w:rPr>
              <w:t>帧</w:t>
            </w:r>
            <w:r>
              <w:rPr>
                <w:szCs w:val="21"/>
              </w:rPr>
              <w:t>/s</w:t>
            </w:r>
          </w:p>
        </w:tc>
      </w:tr>
      <w:tr w14:paraId="3A452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Merge w:val="continue"/>
            <w:vAlign w:val="center"/>
          </w:tcPr>
          <w:p w14:paraId="3DEE54D5">
            <w:pPr>
              <w:pStyle w:val="6"/>
              <w:tabs>
                <w:tab w:val="left" w:pos="26"/>
              </w:tabs>
              <w:topLinePunct/>
              <w:snapToGrid w:val="0"/>
              <w:spacing w:before="60" w:after="60" w:line="240" w:lineRule="auto"/>
              <w:ind w:left="0" w:right="0"/>
              <w:jc w:val="center"/>
              <w:rPr>
                <w:szCs w:val="21"/>
              </w:rPr>
            </w:pPr>
          </w:p>
        </w:tc>
        <w:tc>
          <w:tcPr>
            <w:tcW w:w="1500" w:type="dxa"/>
            <w:vMerge w:val="continue"/>
            <w:vAlign w:val="center"/>
          </w:tcPr>
          <w:p w14:paraId="3FB77800">
            <w:pPr>
              <w:pStyle w:val="6"/>
              <w:tabs>
                <w:tab w:val="left" w:pos="26"/>
              </w:tabs>
              <w:topLinePunct/>
              <w:snapToGrid w:val="0"/>
              <w:spacing w:before="60" w:after="60" w:line="240" w:lineRule="auto"/>
              <w:ind w:left="0" w:right="0"/>
              <w:jc w:val="center"/>
              <w:rPr>
                <w:szCs w:val="21"/>
              </w:rPr>
            </w:pPr>
          </w:p>
        </w:tc>
        <w:tc>
          <w:tcPr>
            <w:tcW w:w="3032" w:type="dxa"/>
            <w:vAlign w:val="center"/>
          </w:tcPr>
          <w:p w14:paraId="6E40CABE">
            <w:pPr>
              <w:pStyle w:val="6"/>
              <w:tabs>
                <w:tab w:val="left" w:pos="26"/>
              </w:tabs>
              <w:topLinePunct/>
              <w:snapToGrid w:val="0"/>
              <w:spacing w:before="60" w:after="60" w:line="240" w:lineRule="auto"/>
              <w:ind w:left="0" w:right="0"/>
              <w:jc w:val="center"/>
              <w:rPr>
                <w:szCs w:val="21"/>
              </w:rPr>
            </w:pPr>
            <w:r>
              <w:rPr>
                <w:szCs w:val="21"/>
              </w:rPr>
              <w:t>MAC</w:t>
            </w:r>
            <w:r>
              <w:rPr>
                <w:rFonts w:hAnsi="宋体"/>
                <w:szCs w:val="21"/>
              </w:rPr>
              <w:t>地址缓存</w:t>
            </w:r>
          </w:p>
        </w:tc>
        <w:tc>
          <w:tcPr>
            <w:tcW w:w="3327" w:type="dxa"/>
            <w:vAlign w:val="center"/>
          </w:tcPr>
          <w:p w14:paraId="1B613087">
            <w:pPr>
              <w:pStyle w:val="6"/>
              <w:tabs>
                <w:tab w:val="left" w:pos="26"/>
              </w:tabs>
              <w:topLinePunct/>
              <w:snapToGrid w:val="0"/>
              <w:spacing w:before="60" w:after="60" w:line="240" w:lineRule="auto"/>
              <w:ind w:left="0" w:right="0"/>
              <w:jc w:val="center"/>
              <w:rPr>
                <w:szCs w:val="21"/>
              </w:rPr>
            </w:pPr>
            <w:r>
              <w:rPr>
                <w:szCs w:val="21"/>
              </w:rPr>
              <w:t>≥16K</w:t>
            </w:r>
          </w:p>
        </w:tc>
      </w:tr>
      <w:tr w14:paraId="680C4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Merge w:val="continue"/>
            <w:vAlign w:val="center"/>
          </w:tcPr>
          <w:p w14:paraId="1558DA18">
            <w:pPr>
              <w:pStyle w:val="6"/>
              <w:tabs>
                <w:tab w:val="left" w:pos="26"/>
              </w:tabs>
              <w:topLinePunct/>
              <w:snapToGrid w:val="0"/>
              <w:spacing w:before="60" w:after="60" w:line="240" w:lineRule="auto"/>
              <w:ind w:left="0" w:right="0"/>
              <w:jc w:val="center"/>
              <w:rPr>
                <w:szCs w:val="21"/>
              </w:rPr>
            </w:pPr>
          </w:p>
        </w:tc>
        <w:tc>
          <w:tcPr>
            <w:tcW w:w="1500" w:type="dxa"/>
            <w:vMerge w:val="continue"/>
            <w:vAlign w:val="center"/>
          </w:tcPr>
          <w:p w14:paraId="0FFEC888">
            <w:pPr>
              <w:pStyle w:val="6"/>
              <w:tabs>
                <w:tab w:val="left" w:pos="26"/>
              </w:tabs>
              <w:topLinePunct/>
              <w:snapToGrid w:val="0"/>
              <w:spacing w:before="60" w:after="60" w:line="240" w:lineRule="auto"/>
              <w:ind w:left="0" w:right="0"/>
              <w:jc w:val="center"/>
              <w:rPr>
                <w:szCs w:val="21"/>
              </w:rPr>
            </w:pPr>
          </w:p>
        </w:tc>
        <w:tc>
          <w:tcPr>
            <w:tcW w:w="3032" w:type="dxa"/>
            <w:vAlign w:val="center"/>
          </w:tcPr>
          <w:p w14:paraId="1C1DE6E3">
            <w:pPr>
              <w:pStyle w:val="6"/>
              <w:tabs>
                <w:tab w:val="left" w:pos="26"/>
              </w:tabs>
              <w:topLinePunct/>
              <w:snapToGrid w:val="0"/>
              <w:spacing w:before="60" w:after="60" w:line="240" w:lineRule="auto"/>
              <w:ind w:left="0" w:right="0"/>
              <w:jc w:val="center"/>
              <w:rPr>
                <w:szCs w:val="21"/>
              </w:rPr>
            </w:pPr>
            <w:r>
              <w:rPr>
                <w:rFonts w:hAnsi="宋体"/>
                <w:szCs w:val="21"/>
              </w:rPr>
              <w:t>优先级队列</w:t>
            </w:r>
          </w:p>
        </w:tc>
        <w:tc>
          <w:tcPr>
            <w:tcW w:w="3327" w:type="dxa"/>
            <w:vAlign w:val="center"/>
          </w:tcPr>
          <w:p w14:paraId="69328ACE">
            <w:pPr>
              <w:pStyle w:val="6"/>
              <w:tabs>
                <w:tab w:val="left" w:pos="26"/>
              </w:tabs>
              <w:topLinePunct/>
              <w:snapToGrid w:val="0"/>
              <w:spacing w:before="60" w:after="60" w:line="240" w:lineRule="auto"/>
              <w:ind w:left="0" w:right="0"/>
              <w:jc w:val="center"/>
              <w:rPr>
                <w:szCs w:val="21"/>
              </w:rPr>
            </w:pPr>
            <w:r>
              <w:rPr>
                <w:szCs w:val="21"/>
              </w:rPr>
              <w:t>≥8</w:t>
            </w:r>
          </w:p>
        </w:tc>
      </w:tr>
      <w:tr w14:paraId="4C564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3FFAC8B3">
            <w:pPr>
              <w:pStyle w:val="6"/>
              <w:tabs>
                <w:tab w:val="left" w:pos="26"/>
              </w:tabs>
              <w:topLinePunct/>
              <w:snapToGrid w:val="0"/>
              <w:spacing w:before="60" w:after="60" w:line="240" w:lineRule="auto"/>
              <w:ind w:left="0" w:right="0"/>
              <w:jc w:val="center"/>
              <w:rPr>
                <w:szCs w:val="21"/>
              </w:rPr>
            </w:pPr>
            <w:r>
              <w:rPr>
                <w:rFonts w:hint="eastAsia"/>
                <w:szCs w:val="21"/>
              </w:rPr>
              <w:t>5</w:t>
            </w:r>
          </w:p>
        </w:tc>
        <w:tc>
          <w:tcPr>
            <w:tcW w:w="1500" w:type="dxa"/>
            <w:vAlign w:val="center"/>
          </w:tcPr>
          <w:p w14:paraId="79D181D5">
            <w:pPr>
              <w:pStyle w:val="6"/>
              <w:tabs>
                <w:tab w:val="left" w:pos="26"/>
              </w:tabs>
              <w:topLinePunct/>
              <w:snapToGrid w:val="0"/>
              <w:spacing w:before="60" w:after="60" w:line="240" w:lineRule="auto"/>
              <w:ind w:left="0" w:right="0"/>
              <w:jc w:val="center"/>
              <w:rPr>
                <w:szCs w:val="21"/>
              </w:rPr>
            </w:pPr>
            <w:r>
              <w:rPr>
                <w:rFonts w:hAnsi="宋体"/>
                <w:szCs w:val="21"/>
              </w:rPr>
              <w:t>网络协议支持</w:t>
            </w:r>
          </w:p>
        </w:tc>
        <w:tc>
          <w:tcPr>
            <w:tcW w:w="6359" w:type="dxa"/>
            <w:gridSpan w:val="2"/>
            <w:vAlign w:val="center"/>
          </w:tcPr>
          <w:p w14:paraId="1A9BCC9B">
            <w:pPr>
              <w:pStyle w:val="6"/>
              <w:tabs>
                <w:tab w:val="left" w:pos="26"/>
              </w:tabs>
              <w:topLinePunct/>
              <w:snapToGrid w:val="0"/>
              <w:spacing w:before="60" w:after="60" w:line="240" w:lineRule="auto"/>
              <w:ind w:left="0" w:right="0"/>
              <w:jc w:val="center"/>
              <w:rPr>
                <w:szCs w:val="21"/>
              </w:rPr>
            </w:pPr>
            <w:r>
              <w:rPr>
                <w:szCs w:val="21"/>
              </w:rPr>
              <w:t>TCP/IP</w:t>
            </w:r>
            <w:r>
              <w:rPr>
                <w:rFonts w:hAnsi="宋体"/>
                <w:szCs w:val="21"/>
              </w:rPr>
              <w:t>协议族（</w:t>
            </w:r>
            <w:r>
              <w:rPr>
                <w:szCs w:val="21"/>
              </w:rPr>
              <w:t>IP\TCP\UDP \ARP</w:t>
            </w:r>
            <w:r>
              <w:rPr>
                <w:rFonts w:hAnsi="宋体"/>
                <w:szCs w:val="21"/>
              </w:rPr>
              <w:t>）</w:t>
            </w:r>
          </w:p>
        </w:tc>
      </w:tr>
      <w:tr w14:paraId="47DD2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461D93B6">
            <w:pPr>
              <w:pStyle w:val="6"/>
              <w:tabs>
                <w:tab w:val="left" w:pos="26"/>
              </w:tabs>
              <w:topLinePunct/>
              <w:snapToGrid w:val="0"/>
              <w:spacing w:before="60" w:after="60" w:line="240" w:lineRule="auto"/>
              <w:ind w:left="0" w:right="0"/>
              <w:jc w:val="center"/>
              <w:rPr>
                <w:szCs w:val="21"/>
              </w:rPr>
            </w:pPr>
            <w:r>
              <w:rPr>
                <w:rFonts w:hint="eastAsia"/>
                <w:szCs w:val="21"/>
              </w:rPr>
              <w:t>6</w:t>
            </w:r>
          </w:p>
        </w:tc>
        <w:tc>
          <w:tcPr>
            <w:tcW w:w="1500" w:type="dxa"/>
            <w:vAlign w:val="center"/>
          </w:tcPr>
          <w:p w14:paraId="6A303491">
            <w:pPr>
              <w:pStyle w:val="6"/>
              <w:tabs>
                <w:tab w:val="left" w:pos="26"/>
              </w:tabs>
              <w:topLinePunct/>
              <w:snapToGrid w:val="0"/>
              <w:spacing w:before="60" w:after="60" w:line="240" w:lineRule="auto"/>
              <w:ind w:left="0" w:right="0"/>
              <w:jc w:val="center"/>
              <w:rPr>
                <w:szCs w:val="21"/>
              </w:rPr>
            </w:pPr>
            <w:r>
              <w:rPr>
                <w:rFonts w:hAnsi="宋体"/>
                <w:szCs w:val="21"/>
              </w:rPr>
              <w:t>安全特性支持</w:t>
            </w:r>
          </w:p>
        </w:tc>
        <w:tc>
          <w:tcPr>
            <w:tcW w:w="6359" w:type="dxa"/>
            <w:gridSpan w:val="2"/>
            <w:vAlign w:val="center"/>
          </w:tcPr>
          <w:p w14:paraId="3B55C8ED">
            <w:pPr>
              <w:pStyle w:val="6"/>
              <w:tabs>
                <w:tab w:val="left" w:pos="26"/>
              </w:tabs>
              <w:topLinePunct/>
              <w:snapToGrid w:val="0"/>
              <w:spacing w:before="60" w:after="60" w:line="240" w:lineRule="auto"/>
              <w:ind w:left="0" w:right="0"/>
              <w:jc w:val="center"/>
              <w:rPr>
                <w:szCs w:val="21"/>
              </w:rPr>
            </w:pPr>
            <w:r>
              <w:rPr>
                <w:rFonts w:hAnsi="宋体"/>
                <w:szCs w:val="21"/>
              </w:rPr>
              <w:t>用户分级管理和口令保护、端口隔离、</w:t>
            </w:r>
            <w:r>
              <w:rPr>
                <w:szCs w:val="21"/>
              </w:rPr>
              <w:t>MAC</w:t>
            </w:r>
            <w:r>
              <w:rPr>
                <w:rFonts w:hAnsi="宋体"/>
                <w:szCs w:val="21"/>
              </w:rPr>
              <w:t>地址黑洞、</w:t>
            </w:r>
            <w:r>
              <w:rPr>
                <w:szCs w:val="21"/>
              </w:rPr>
              <w:t>ARP</w:t>
            </w:r>
            <w:r>
              <w:rPr>
                <w:rFonts w:hAnsi="宋体"/>
                <w:szCs w:val="21"/>
              </w:rPr>
              <w:t>入侵检测、防止</w:t>
            </w:r>
            <w:r>
              <w:rPr>
                <w:szCs w:val="21"/>
              </w:rPr>
              <w:t>DOS</w:t>
            </w:r>
            <w:r>
              <w:rPr>
                <w:rFonts w:hAnsi="宋体"/>
                <w:szCs w:val="21"/>
              </w:rPr>
              <w:t>攻击功能、支持</w:t>
            </w:r>
            <w:r>
              <w:rPr>
                <w:szCs w:val="21"/>
              </w:rPr>
              <w:t>MAC</w:t>
            </w:r>
            <w:r>
              <w:rPr>
                <w:rFonts w:hAnsi="宋体"/>
                <w:szCs w:val="21"/>
              </w:rPr>
              <w:t>地址与端口、</w:t>
            </w:r>
            <w:r>
              <w:rPr>
                <w:szCs w:val="21"/>
              </w:rPr>
              <w:t>IP</w:t>
            </w:r>
            <w:r>
              <w:rPr>
                <w:rFonts w:hAnsi="宋体"/>
                <w:szCs w:val="21"/>
              </w:rPr>
              <w:t>的绑定、</w:t>
            </w:r>
            <w:r>
              <w:rPr>
                <w:szCs w:val="21"/>
              </w:rPr>
              <w:t>SSH</w:t>
            </w:r>
          </w:p>
        </w:tc>
      </w:tr>
      <w:tr w14:paraId="4CA9E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2DCC3628">
            <w:pPr>
              <w:pStyle w:val="6"/>
              <w:tabs>
                <w:tab w:val="left" w:pos="26"/>
              </w:tabs>
              <w:topLinePunct/>
              <w:snapToGrid w:val="0"/>
              <w:spacing w:before="60" w:after="60" w:line="240" w:lineRule="auto"/>
              <w:ind w:left="0" w:right="0"/>
              <w:jc w:val="center"/>
              <w:rPr>
                <w:szCs w:val="21"/>
              </w:rPr>
            </w:pPr>
            <w:r>
              <w:rPr>
                <w:rFonts w:hint="eastAsia"/>
                <w:szCs w:val="21"/>
              </w:rPr>
              <w:t>7</w:t>
            </w:r>
          </w:p>
        </w:tc>
        <w:tc>
          <w:tcPr>
            <w:tcW w:w="1500" w:type="dxa"/>
            <w:vAlign w:val="center"/>
          </w:tcPr>
          <w:p w14:paraId="09B4B934">
            <w:pPr>
              <w:pStyle w:val="6"/>
              <w:tabs>
                <w:tab w:val="left" w:pos="26"/>
              </w:tabs>
              <w:topLinePunct/>
              <w:snapToGrid w:val="0"/>
              <w:spacing w:before="60" w:after="60" w:line="240" w:lineRule="auto"/>
              <w:ind w:left="0" w:right="0"/>
              <w:jc w:val="center"/>
              <w:rPr>
                <w:szCs w:val="21"/>
              </w:rPr>
            </w:pPr>
            <w:r>
              <w:rPr>
                <w:rFonts w:hAnsi="宋体"/>
                <w:szCs w:val="21"/>
              </w:rPr>
              <w:t>网管方式</w:t>
            </w:r>
          </w:p>
        </w:tc>
        <w:tc>
          <w:tcPr>
            <w:tcW w:w="6359" w:type="dxa"/>
            <w:gridSpan w:val="2"/>
            <w:vAlign w:val="center"/>
          </w:tcPr>
          <w:p w14:paraId="60542391">
            <w:pPr>
              <w:pStyle w:val="6"/>
              <w:tabs>
                <w:tab w:val="left" w:pos="26"/>
              </w:tabs>
              <w:topLinePunct/>
              <w:snapToGrid w:val="0"/>
              <w:spacing w:before="60" w:after="60" w:line="240" w:lineRule="auto"/>
              <w:ind w:left="0" w:right="0"/>
              <w:jc w:val="center"/>
              <w:rPr>
                <w:szCs w:val="21"/>
              </w:rPr>
            </w:pPr>
            <w:r>
              <w:rPr>
                <w:szCs w:val="21"/>
              </w:rPr>
              <w:t>SNMP</w:t>
            </w:r>
            <w:r>
              <w:rPr>
                <w:rFonts w:hAnsi="宋体"/>
                <w:szCs w:val="21"/>
              </w:rPr>
              <w:t>、</w:t>
            </w:r>
            <w:r>
              <w:rPr>
                <w:szCs w:val="21"/>
              </w:rPr>
              <w:t xml:space="preserve">RMON </w:t>
            </w:r>
            <w:r>
              <w:rPr>
                <w:rFonts w:hAnsi="宋体"/>
                <w:szCs w:val="21"/>
              </w:rPr>
              <w:t>、</w:t>
            </w:r>
            <w:r>
              <w:rPr>
                <w:szCs w:val="21"/>
              </w:rPr>
              <w:t xml:space="preserve">CLI </w:t>
            </w:r>
            <w:r>
              <w:rPr>
                <w:rFonts w:hAnsi="宋体"/>
                <w:szCs w:val="21"/>
              </w:rPr>
              <w:t>、</w:t>
            </w:r>
            <w:r>
              <w:rPr>
                <w:szCs w:val="21"/>
              </w:rPr>
              <w:t>Telnet</w:t>
            </w:r>
            <w:r>
              <w:rPr>
                <w:rFonts w:hAnsi="宋体"/>
                <w:szCs w:val="21"/>
              </w:rPr>
              <w:t>、</w:t>
            </w:r>
            <w:r>
              <w:rPr>
                <w:szCs w:val="21"/>
              </w:rPr>
              <w:t>Console</w:t>
            </w:r>
            <w:r>
              <w:rPr>
                <w:rFonts w:hAnsi="宋体"/>
                <w:szCs w:val="21"/>
              </w:rPr>
              <w:t>口、</w:t>
            </w:r>
            <w:r>
              <w:rPr>
                <w:szCs w:val="21"/>
              </w:rPr>
              <w:t>WEB</w:t>
            </w:r>
            <w:r>
              <w:rPr>
                <w:rFonts w:hAnsi="宋体"/>
                <w:szCs w:val="21"/>
              </w:rPr>
              <w:t>网管</w:t>
            </w:r>
          </w:p>
        </w:tc>
      </w:tr>
      <w:tr w14:paraId="02230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27E93590">
            <w:pPr>
              <w:pStyle w:val="6"/>
              <w:tabs>
                <w:tab w:val="left" w:pos="26"/>
              </w:tabs>
              <w:topLinePunct/>
              <w:snapToGrid w:val="0"/>
              <w:spacing w:before="60" w:after="60" w:line="240" w:lineRule="auto"/>
              <w:ind w:left="0" w:right="0"/>
              <w:jc w:val="center"/>
              <w:rPr>
                <w:szCs w:val="21"/>
              </w:rPr>
            </w:pPr>
            <w:r>
              <w:rPr>
                <w:rFonts w:hint="eastAsia"/>
                <w:szCs w:val="21"/>
              </w:rPr>
              <w:t>8</w:t>
            </w:r>
          </w:p>
        </w:tc>
        <w:tc>
          <w:tcPr>
            <w:tcW w:w="1500" w:type="dxa"/>
            <w:vAlign w:val="center"/>
          </w:tcPr>
          <w:p w14:paraId="79A509BE">
            <w:pPr>
              <w:pStyle w:val="6"/>
              <w:tabs>
                <w:tab w:val="left" w:pos="26"/>
              </w:tabs>
              <w:topLinePunct/>
              <w:snapToGrid w:val="0"/>
              <w:spacing w:before="60" w:after="60" w:line="240" w:lineRule="auto"/>
              <w:ind w:left="0" w:right="0"/>
              <w:jc w:val="center"/>
              <w:rPr>
                <w:szCs w:val="21"/>
              </w:rPr>
            </w:pPr>
            <w:r>
              <w:rPr>
                <w:rFonts w:hAnsi="宋体"/>
                <w:szCs w:val="21"/>
              </w:rPr>
              <w:t>接口类型支持</w:t>
            </w:r>
          </w:p>
        </w:tc>
        <w:tc>
          <w:tcPr>
            <w:tcW w:w="6359" w:type="dxa"/>
            <w:gridSpan w:val="2"/>
            <w:vAlign w:val="center"/>
          </w:tcPr>
          <w:p w14:paraId="723BF0B3">
            <w:pPr>
              <w:pStyle w:val="6"/>
              <w:tabs>
                <w:tab w:val="left" w:pos="26"/>
              </w:tabs>
              <w:topLinePunct/>
              <w:snapToGrid w:val="0"/>
              <w:spacing w:before="60" w:after="60" w:line="240" w:lineRule="auto"/>
              <w:ind w:left="0" w:right="0"/>
              <w:jc w:val="center"/>
              <w:rPr>
                <w:szCs w:val="21"/>
              </w:rPr>
            </w:pPr>
            <w:r>
              <w:rPr>
                <w:szCs w:val="21"/>
              </w:rPr>
              <w:t>10/100M</w:t>
            </w:r>
            <w:r>
              <w:rPr>
                <w:rFonts w:hAnsi="宋体"/>
                <w:szCs w:val="21"/>
              </w:rPr>
              <w:t>接口：</w:t>
            </w:r>
            <w:r>
              <w:rPr>
                <w:szCs w:val="21"/>
              </w:rPr>
              <w:t>10/100M</w:t>
            </w:r>
            <w:r>
              <w:rPr>
                <w:rFonts w:hAnsi="宋体"/>
                <w:szCs w:val="21"/>
              </w:rPr>
              <w:t>电口，</w:t>
            </w:r>
            <w:r>
              <w:rPr>
                <w:szCs w:val="21"/>
              </w:rPr>
              <w:t xml:space="preserve"> 24</w:t>
            </w:r>
            <w:r>
              <w:rPr>
                <w:rFonts w:hAnsi="宋体"/>
                <w:szCs w:val="21"/>
              </w:rPr>
              <w:t>个</w:t>
            </w:r>
          </w:p>
          <w:p w14:paraId="4576EA40">
            <w:pPr>
              <w:pStyle w:val="6"/>
              <w:tabs>
                <w:tab w:val="left" w:pos="26"/>
              </w:tabs>
              <w:topLinePunct/>
              <w:snapToGrid w:val="0"/>
              <w:spacing w:before="60" w:after="60" w:line="240" w:lineRule="auto"/>
              <w:ind w:left="0" w:right="0"/>
              <w:jc w:val="center"/>
              <w:rPr>
                <w:szCs w:val="21"/>
              </w:rPr>
            </w:pPr>
            <w:r>
              <w:rPr>
                <w:szCs w:val="21"/>
              </w:rPr>
              <w:t>1000M</w:t>
            </w:r>
            <w:r>
              <w:rPr>
                <w:rFonts w:hAnsi="宋体"/>
                <w:szCs w:val="21"/>
              </w:rPr>
              <w:t>接口：</w:t>
            </w:r>
            <w:r>
              <w:rPr>
                <w:szCs w:val="21"/>
              </w:rPr>
              <w:t>4</w:t>
            </w:r>
            <w:r>
              <w:rPr>
                <w:rFonts w:hAnsi="宋体"/>
                <w:szCs w:val="21"/>
              </w:rPr>
              <w:t>个</w:t>
            </w:r>
          </w:p>
        </w:tc>
      </w:tr>
      <w:tr w14:paraId="2E047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1" w:type="dxa"/>
            <w:vAlign w:val="center"/>
          </w:tcPr>
          <w:p w14:paraId="4E8441DB">
            <w:pPr>
              <w:pStyle w:val="6"/>
              <w:tabs>
                <w:tab w:val="left" w:pos="26"/>
              </w:tabs>
              <w:topLinePunct/>
              <w:snapToGrid w:val="0"/>
              <w:spacing w:before="60" w:after="60" w:line="240" w:lineRule="auto"/>
              <w:ind w:left="0" w:right="0"/>
              <w:jc w:val="center"/>
              <w:rPr>
                <w:szCs w:val="21"/>
              </w:rPr>
            </w:pPr>
            <w:r>
              <w:rPr>
                <w:rFonts w:hint="eastAsia"/>
                <w:szCs w:val="21"/>
              </w:rPr>
              <w:t>9</w:t>
            </w:r>
          </w:p>
        </w:tc>
        <w:tc>
          <w:tcPr>
            <w:tcW w:w="1500" w:type="dxa"/>
            <w:vAlign w:val="center"/>
          </w:tcPr>
          <w:p w14:paraId="1C9A255C">
            <w:pPr>
              <w:pStyle w:val="6"/>
              <w:tabs>
                <w:tab w:val="left" w:pos="26"/>
              </w:tabs>
              <w:topLinePunct/>
              <w:snapToGrid w:val="0"/>
              <w:spacing w:before="60" w:after="60" w:line="240" w:lineRule="auto"/>
              <w:ind w:left="0" w:right="0"/>
              <w:jc w:val="center"/>
              <w:rPr>
                <w:szCs w:val="21"/>
              </w:rPr>
            </w:pPr>
            <w:r>
              <w:rPr>
                <w:rFonts w:hAnsi="宋体"/>
                <w:szCs w:val="21"/>
              </w:rPr>
              <w:t>环境要求</w:t>
            </w:r>
          </w:p>
        </w:tc>
        <w:tc>
          <w:tcPr>
            <w:tcW w:w="6359" w:type="dxa"/>
            <w:gridSpan w:val="2"/>
            <w:vAlign w:val="center"/>
          </w:tcPr>
          <w:p w14:paraId="0063D5F9">
            <w:pPr>
              <w:pStyle w:val="6"/>
              <w:tabs>
                <w:tab w:val="left" w:pos="26"/>
              </w:tabs>
              <w:topLinePunct/>
              <w:snapToGrid w:val="0"/>
              <w:spacing w:before="60" w:after="60" w:line="240" w:lineRule="auto"/>
              <w:ind w:left="0" w:right="0"/>
              <w:jc w:val="center"/>
              <w:rPr>
                <w:szCs w:val="21"/>
              </w:rPr>
            </w:pPr>
            <w:r>
              <w:rPr>
                <w:rFonts w:hAnsi="宋体"/>
                <w:szCs w:val="21"/>
              </w:rPr>
              <w:t>工作温度：</w:t>
            </w:r>
            <w:r>
              <w:rPr>
                <w:szCs w:val="21"/>
              </w:rPr>
              <w:t>-10</w:t>
            </w:r>
            <w:r>
              <w:rPr>
                <w:rFonts w:ascii="宋体" w:hAnsi="宋体"/>
                <w:szCs w:val="21"/>
              </w:rPr>
              <w:t>℃</w:t>
            </w:r>
            <w:r>
              <w:rPr>
                <w:rFonts w:hAnsi="宋体"/>
                <w:szCs w:val="21"/>
              </w:rPr>
              <w:t>～</w:t>
            </w:r>
            <w:r>
              <w:rPr>
                <w:szCs w:val="21"/>
              </w:rPr>
              <w:t>+50</w:t>
            </w:r>
            <w:r>
              <w:rPr>
                <w:rFonts w:hAnsi="宋体"/>
                <w:szCs w:val="21"/>
              </w:rPr>
              <w:t>℃</w:t>
            </w:r>
          </w:p>
          <w:p w14:paraId="59ED9F82">
            <w:pPr>
              <w:pStyle w:val="6"/>
              <w:tabs>
                <w:tab w:val="left" w:pos="26"/>
              </w:tabs>
              <w:topLinePunct/>
              <w:snapToGrid w:val="0"/>
              <w:spacing w:before="60" w:after="60" w:line="240" w:lineRule="auto"/>
              <w:ind w:left="0" w:right="0"/>
              <w:jc w:val="center"/>
              <w:rPr>
                <w:szCs w:val="21"/>
              </w:rPr>
            </w:pPr>
            <w:r>
              <w:rPr>
                <w:rFonts w:hAnsi="宋体"/>
                <w:szCs w:val="21"/>
              </w:rPr>
              <w:t>相对湿度：</w:t>
            </w:r>
            <w:r>
              <w:rPr>
                <w:szCs w:val="21"/>
              </w:rPr>
              <w:t>10</w:t>
            </w:r>
            <w:r>
              <w:rPr>
                <w:rFonts w:hAnsi="宋体"/>
                <w:szCs w:val="21"/>
              </w:rPr>
              <w:t>％</w:t>
            </w:r>
            <w:r>
              <w:rPr>
                <w:szCs w:val="21"/>
              </w:rPr>
              <w:t>RH</w:t>
            </w:r>
            <w:r>
              <w:rPr>
                <w:rFonts w:hAnsi="宋体"/>
                <w:szCs w:val="21"/>
              </w:rPr>
              <w:t>～</w:t>
            </w:r>
            <w:r>
              <w:rPr>
                <w:szCs w:val="21"/>
              </w:rPr>
              <w:t>90</w:t>
            </w:r>
            <w:r>
              <w:rPr>
                <w:rFonts w:hAnsi="宋体"/>
                <w:szCs w:val="21"/>
              </w:rPr>
              <w:t>％</w:t>
            </w:r>
            <w:r>
              <w:rPr>
                <w:szCs w:val="21"/>
              </w:rPr>
              <w:t xml:space="preserve">RH </w:t>
            </w:r>
            <w:r>
              <w:rPr>
                <w:rFonts w:hAnsi="宋体"/>
                <w:szCs w:val="21"/>
              </w:rPr>
              <w:t>无凝结</w:t>
            </w:r>
          </w:p>
        </w:tc>
      </w:tr>
    </w:tbl>
    <w:p w14:paraId="7BBC3935">
      <w:pPr>
        <w:snapToGrid w:val="0"/>
        <w:spacing w:line="440" w:lineRule="exact"/>
        <w:rPr>
          <w:rFonts w:ascii="宋体" w:hAnsi="宋体"/>
          <w:sz w:val="24"/>
        </w:rPr>
      </w:pPr>
    </w:p>
    <w:p w14:paraId="4653BBDE">
      <w:pPr>
        <w:snapToGrid w:val="0"/>
        <w:spacing w:line="440" w:lineRule="exact"/>
        <w:ind w:firstLine="0" w:firstLineChars="0"/>
        <w:jc w:val="both"/>
        <w:outlineLvl w:val="1"/>
        <w:rPr>
          <w:sz w:val="24"/>
        </w:rPr>
      </w:pPr>
      <w:bookmarkStart w:id="27" w:name="_Toc169078724"/>
      <w:r>
        <w:rPr>
          <w:rFonts w:hint="eastAsia" w:ascii="宋体" w:hAnsi="宋体" w:cs="宋体"/>
          <w:b/>
          <w:color w:val="000000"/>
          <w:sz w:val="24"/>
        </w:rPr>
        <w:t>4.</w:t>
      </w:r>
      <w:r>
        <w:rPr>
          <w:rFonts w:ascii="宋体" w:hAnsi="宋体" w:cs="宋体"/>
          <w:b/>
          <w:color w:val="000000"/>
          <w:sz w:val="24"/>
        </w:rPr>
        <w:t>5</w:t>
      </w:r>
      <w:r>
        <w:rPr>
          <w:rFonts w:hint="eastAsia" w:ascii="宋体" w:hAnsi="宋体" w:cs="宋体"/>
          <w:b/>
          <w:color w:val="000000"/>
          <w:sz w:val="24"/>
        </w:rPr>
        <w:t xml:space="preserve"> 省调、地调IP纵向加密认证装置</w:t>
      </w:r>
      <w:bookmarkEnd w:id="27"/>
    </w:p>
    <w:p w14:paraId="25A720A3">
      <w:pPr>
        <w:pStyle w:val="5"/>
        <w:ind w:firstLine="482"/>
        <w:rPr>
          <w:b/>
        </w:rPr>
      </w:pPr>
      <w:r>
        <w:rPr>
          <w:b/>
        </w:rPr>
        <w:t>表3 纵向加密认证装置标准技术参数表</w:t>
      </w:r>
    </w:p>
    <w:tbl>
      <w:tblPr>
        <w:tblStyle w:val="15"/>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254"/>
        <w:gridCol w:w="687"/>
        <w:gridCol w:w="2897"/>
      </w:tblGrid>
      <w:tr w14:paraId="1D496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6" w:type="dxa"/>
            <w:vAlign w:val="center"/>
          </w:tcPr>
          <w:p w14:paraId="3130AC70">
            <w:pPr>
              <w:snapToGrid w:val="0"/>
              <w:spacing w:before="62" w:beforeLines="20" w:after="62" w:afterLines="20" w:line="240" w:lineRule="auto"/>
              <w:ind w:firstLine="0" w:firstLineChars="0"/>
              <w:jc w:val="center"/>
            </w:pPr>
            <w:r>
              <w:rPr>
                <w:rFonts w:hAnsi="宋体"/>
              </w:rPr>
              <w:t>序号</w:t>
            </w:r>
          </w:p>
        </w:tc>
        <w:tc>
          <w:tcPr>
            <w:tcW w:w="4254" w:type="dxa"/>
            <w:vAlign w:val="center"/>
          </w:tcPr>
          <w:p w14:paraId="75ABFBE4">
            <w:pPr>
              <w:snapToGrid w:val="0"/>
              <w:spacing w:before="62" w:beforeLines="20" w:after="62" w:afterLines="20" w:line="240" w:lineRule="auto"/>
              <w:ind w:firstLine="0" w:firstLineChars="0"/>
              <w:jc w:val="center"/>
            </w:pPr>
            <w:r>
              <w:rPr>
                <w:rFonts w:hAnsi="宋体"/>
              </w:rPr>
              <w:t>参数名称</w:t>
            </w:r>
          </w:p>
        </w:tc>
        <w:tc>
          <w:tcPr>
            <w:tcW w:w="687" w:type="dxa"/>
            <w:vAlign w:val="center"/>
          </w:tcPr>
          <w:p w14:paraId="6D8CE8A5">
            <w:pPr>
              <w:snapToGrid w:val="0"/>
              <w:spacing w:before="62" w:beforeLines="20" w:after="62" w:afterLines="20" w:line="240" w:lineRule="auto"/>
              <w:ind w:firstLine="0" w:firstLineChars="0"/>
              <w:jc w:val="center"/>
            </w:pPr>
            <w:r>
              <w:rPr>
                <w:rFonts w:hAnsi="宋体"/>
              </w:rPr>
              <w:t>单位</w:t>
            </w:r>
          </w:p>
        </w:tc>
        <w:tc>
          <w:tcPr>
            <w:tcW w:w="2897" w:type="dxa"/>
            <w:vAlign w:val="center"/>
          </w:tcPr>
          <w:p w14:paraId="6F86AE70">
            <w:pPr>
              <w:snapToGrid w:val="0"/>
              <w:spacing w:before="62" w:beforeLines="20" w:after="62" w:afterLines="20" w:line="240" w:lineRule="auto"/>
              <w:ind w:firstLine="0" w:firstLineChars="0"/>
              <w:jc w:val="center"/>
            </w:pPr>
            <w:r>
              <w:rPr>
                <w:rFonts w:hint="eastAsia" w:hAnsi="宋体"/>
              </w:rPr>
              <w:t>需求方</w:t>
            </w:r>
            <w:r>
              <w:rPr>
                <w:rFonts w:hAnsi="宋体"/>
              </w:rPr>
              <w:t>要求</w:t>
            </w:r>
          </w:p>
        </w:tc>
      </w:tr>
      <w:tr w14:paraId="21A7A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Align w:val="center"/>
          </w:tcPr>
          <w:p w14:paraId="40A9F938">
            <w:pPr>
              <w:spacing w:line="240" w:lineRule="auto"/>
              <w:ind w:firstLine="0" w:firstLineChars="0"/>
              <w:jc w:val="center"/>
            </w:pPr>
            <w:r>
              <w:t>1</w:t>
            </w:r>
          </w:p>
        </w:tc>
        <w:tc>
          <w:tcPr>
            <w:tcW w:w="4254" w:type="dxa"/>
            <w:vAlign w:val="center"/>
          </w:tcPr>
          <w:p w14:paraId="612E6497">
            <w:pPr>
              <w:pStyle w:val="10"/>
              <w:snapToGrid w:val="0"/>
              <w:spacing w:before="62" w:beforeLines="20" w:after="62" w:afterLines="20" w:line="240" w:lineRule="auto"/>
              <w:ind w:firstLine="0" w:firstLineChars="0"/>
              <w:jc w:val="center"/>
              <w:rPr>
                <w:sz w:val="24"/>
                <w:szCs w:val="24"/>
              </w:rPr>
            </w:pPr>
            <w:r>
              <w:rPr>
                <w:rFonts w:hAnsi="宋体"/>
                <w:sz w:val="24"/>
                <w:szCs w:val="24"/>
              </w:rPr>
              <w:t>网络接口</w:t>
            </w:r>
          </w:p>
        </w:tc>
        <w:tc>
          <w:tcPr>
            <w:tcW w:w="687" w:type="dxa"/>
            <w:vAlign w:val="center"/>
          </w:tcPr>
          <w:p w14:paraId="51D86F19">
            <w:pPr>
              <w:pStyle w:val="10"/>
              <w:snapToGrid w:val="0"/>
              <w:spacing w:before="62" w:beforeLines="20" w:after="62" w:afterLines="20" w:line="240" w:lineRule="auto"/>
              <w:ind w:firstLine="0" w:firstLineChars="0"/>
              <w:jc w:val="center"/>
              <w:rPr>
                <w:sz w:val="24"/>
                <w:szCs w:val="24"/>
              </w:rPr>
            </w:pPr>
            <w:r>
              <w:rPr>
                <w:rFonts w:hAnsi="宋体"/>
                <w:sz w:val="24"/>
                <w:szCs w:val="24"/>
              </w:rPr>
              <w:t>个</w:t>
            </w:r>
          </w:p>
        </w:tc>
        <w:tc>
          <w:tcPr>
            <w:tcW w:w="2897" w:type="dxa"/>
            <w:vAlign w:val="center"/>
          </w:tcPr>
          <w:p w14:paraId="77F34B2A">
            <w:pPr>
              <w:snapToGrid w:val="0"/>
              <w:spacing w:before="62" w:beforeLines="20" w:after="62" w:afterLines="20" w:line="240" w:lineRule="auto"/>
              <w:ind w:firstLine="0" w:firstLineChars="0"/>
              <w:jc w:val="center"/>
            </w:pPr>
            <w:r>
              <w:t>10</w:t>
            </w:r>
            <w:r>
              <w:rPr>
                <w:rFonts w:hint="eastAsia"/>
              </w:rPr>
              <w:t>0</w:t>
            </w:r>
            <w:r>
              <w:t>/100</w:t>
            </w:r>
            <w:r>
              <w:rPr>
                <w:rFonts w:hint="eastAsia"/>
              </w:rPr>
              <w:t>0</w:t>
            </w:r>
            <w:r>
              <w:t>M</w:t>
            </w:r>
            <w:r>
              <w:rPr>
                <w:rFonts w:hAnsi="宋体"/>
              </w:rPr>
              <w:t>网卡接口</w:t>
            </w:r>
            <w:r>
              <w:rPr>
                <w:kern w:val="0"/>
              </w:rPr>
              <w:t>≥5</w:t>
            </w:r>
            <w:r>
              <w:rPr>
                <w:rFonts w:hAnsi="宋体"/>
                <w:kern w:val="0"/>
              </w:rPr>
              <w:t>个</w:t>
            </w:r>
          </w:p>
        </w:tc>
      </w:tr>
      <w:tr w14:paraId="4192E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Align w:val="center"/>
          </w:tcPr>
          <w:p w14:paraId="7E70E4E6">
            <w:pPr>
              <w:spacing w:line="240" w:lineRule="auto"/>
              <w:ind w:firstLine="0" w:firstLineChars="0"/>
              <w:jc w:val="center"/>
            </w:pPr>
            <w:r>
              <w:t>2</w:t>
            </w:r>
          </w:p>
        </w:tc>
        <w:tc>
          <w:tcPr>
            <w:tcW w:w="4254" w:type="dxa"/>
            <w:vAlign w:val="center"/>
          </w:tcPr>
          <w:p w14:paraId="2A4EFEF4">
            <w:pPr>
              <w:pStyle w:val="10"/>
              <w:snapToGrid w:val="0"/>
              <w:spacing w:before="62" w:beforeLines="20" w:after="62" w:afterLines="20" w:line="240" w:lineRule="auto"/>
              <w:ind w:firstLine="0" w:firstLineChars="0"/>
              <w:jc w:val="center"/>
              <w:rPr>
                <w:sz w:val="24"/>
                <w:szCs w:val="24"/>
              </w:rPr>
            </w:pPr>
            <w:r>
              <w:rPr>
                <w:rFonts w:hAnsi="宋体"/>
                <w:sz w:val="24"/>
                <w:szCs w:val="24"/>
              </w:rPr>
              <w:t>外设接口</w:t>
            </w:r>
          </w:p>
        </w:tc>
        <w:tc>
          <w:tcPr>
            <w:tcW w:w="687" w:type="dxa"/>
            <w:vAlign w:val="center"/>
          </w:tcPr>
          <w:p w14:paraId="4447D674">
            <w:pPr>
              <w:pStyle w:val="10"/>
              <w:snapToGrid w:val="0"/>
              <w:spacing w:before="62" w:beforeLines="20" w:after="62" w:afterLines="20" w:line="240" w:lineRule="auto"/>
              <w:ind w:firstLine="0" w:firstLineChars="0"/>
              <w:jc w:val="center"/>
              <w:rPr>
                <w:sz w:val="24"/>
                <w:szCs w:val="24"/>
              </w:rPr>
            </w:pPr>
            <w:r>
              <w:rPr>
                <w:rFonts w:hAnsi="宋体"/>
                <w:sz w:val="24"/>
                <w:szCs w:val="24"/>
              </w:rPr>
              <w:t>个</w:t>
            </w:r>
          </w:p>
        </w:tc>
        <w:tc>
          <w:tcPr>
            <w:tcW w:w="2897" w:type="dxa"/>
            <w:vAlign w:val="center"/>
          </w:tcPr>
          <w:p w14:paraId="597BA461">
            <w:pPr>
              <w:snapToGrid w:val="0"/>
              <w:spacing w:before="62" w:beforeLines="20" w:after="62" w:afterLines="20" w:line="240" w:lineRule="auto"/>
              <w:ind w:firstLine="0" w:firstLineChars="0"/>
              <w:jc w:val="center"/>
            </w:pPr>
            <w:r>
              <w:rPr>
                <w:rFonts w:hAnsi="宋体"/>
              </w:rPr>
              <w:t>旁路网口</w:t>
            </w:r>
            <w:r>
              <w:t>2</w:t>
            </w:r>
            <w:r>
              <w:rPr>
                <w:rFonts w:hAnsi="宋体"/>
              </w:rPr>
              <w:t>个</w:t>
            </w:r>
          </w:p>
          <w:p w14:paraId="2578B45C">
            <w:pPr>
              <w:snapToGrid w:val="0"/>
              <w:spacing w:before="62" w:beforeLines="20" w:after="62" w:afterLines="20" w:line="240" w:lineRule="auto"/>
              <w:ind w:firstLine="0" w:firstLineChars="0"/>
              <w:jc w:val="center"/>
            </w:pPr>
            <w:r>
              <w:rPr>
                <w:rFonts w:hAnsi="宋体"/>
              </w:rPr>
              <w:t>智能</w:t>
            </w:r>
            <w:r>
              <w:t>IC</w:t>
            </w:r>
            <w:r>
              <w:rPr>
                <w:rFonts w:hAnsi="宋体"/>
              </w:rPr>
              <w:t>卡接口</w:t>
            </w:r>
            <w:r>
              <w:t>1</w:t>
            </w:r>
            <w:r>
              <w:rPr>
                <w:rFonts w:hAnsi="宋体"/>
              </w:rPr>
              <w:t>个</w:t>
            </w:r>
          </w:p>
        </w:tc>
      </w:tr>
      <w:tr w14:paraId="491A0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Align w:val="center"/>
          </w:tcPr>
          <w:p w14:paraId="434D0AB3">
            <w:pPr>
              <w:tabs>
                <w:tab w:val="center" w:pos="286"/>
              </w:tabs>
              <w:snapToGrid w:val="0"/>
              <w:spacing w:line="240" w:lineRule="auto"/>
              <w:ind w:firstLine="0" w:firstLineChars="0"/>
              <w:jc w:val="center"/>
            </w:pPr>
            <w:r>
              <w:t>3</w:t>
            </w:r>
          </w:p>
        </w:tc>
        <w:tc>
          <w:tcPr>
            <w:tcW w:w="4254" w:type="dxa"/>
            <w:vAlign w:val="center"/>
          </w:tcPr>
          <w:p w14:paraId="136DA7BA">
            <w:pPr>
              <w:spacing w:line="240" w:lineRule="auto"/>
              <w:ind w:firstLine="0" w:firstLineChars="0"/>
              <w:jc w:val="center"/>
            </w:pPr>
            <w:r>
              <w:rPr>
                <w:rFonts w:hAnsi="宋体"/>
              </w:rPr>
              <w:t>设备厚度</w:t>
            </w:r>
          </w:p>
        </w:tc>
        <w:tc>
          <w:tcPr>
            <w:tcW w:w="687" w:type="dxa"/>
            <w:vAlign w:val="center"/>
          </w:tcPr>
          <w:p w14:paraId="4301644C">
            <w:pPr>
              <w:pStyle w:val="10"/>
              <w:snapToGrid w:val="0"/>
              <w:spacing w:before="62" w:beforeLines="20" w:after="62" w:afterLines="20" w:line="240" w:lineRule="auto"/>
              <w:ind w:firstLine="0" w:firstLineChars="0"/>
              <w:jc w:val="center"/>
              <w:rPr>
                <w:sz w:val="24"/>
                <w:szCs w:val="24"/>
              </w:rPr>
            </w:pPr>
            <w:r>
              <w:rPr>
                <w:sz w:val="24"/>
                <w:szCs w:val="24"/>
              </w:rPr>
              <w:t>U</w:t>
            </w:r>
          </w:p>
        </w:tc>
        <w:tc>
          <w:tcPr>
            <w:tcW w:w="2897" w:type="dxa"/>
            <w:vAlign w:val="center"/>
          </w:tcPr>
          <w:p w14:paraId="5E4157DD">
            <w:pPr>
              <w:snapToGrid w:val="0"/>
              <w:spacing w:before="62" w:beforeLines="20" w:after="62" w:afterLines="20" w:line="240" w:lineRule="auto"/>
              <w:ind w:firstLine="0" w:firstLineChars="0"/>
              <w:jc w:val="center"/>
            </w:pPr>
            <w:r>
              <w:t>1U</w:t>
            </w:r>
          </w:p>
        </w:tc>
      </w:tr>
      <w:tr w14:paraId="35248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6" w:type="dxa"/>
            <w:vAlign w:val="center"/>
          </w:tcPr>
          <w:p w14:paraId="0C8FE41E">
            <w:pPr>
              <w:tabs>
                <w:tab w:val="center" w:pos="286"/>
              </w:tabs>
              <w:snapToGrid w:val="0"/>
              <w:spacing w:line="240" w:lineRule="auto"/>
              <w:ind w:firstLine="0" w:firstLineChars="0"/>
              <w:jc w:val="center"/>
            </w:pPr>
            <w:r>
              <w:t>4</w:t>
            </w:r>
          </w:p>
        </w:tc>
        <w:tc>
          <w:tcPr>
            <w:tcW w:w="4254" w:type="dxa"/>
            <w:vAlign w:val="center"/>
          </w:tcPr>
          <w:p w14:paraId="146333C9">
            <w:pPr>
              <w:pStyle w:val="10"/>
              <w:snapToGrid w:val="0"/>
              <w:spacing w:before="62" w:beforeLines="20" w:after="62" w:afterLines="20" w:line="240" w:lineRule="auto"/>
              <w:ind w:firstLine="0" w:firstLineChars="0"/>
              <w:jc w:val="center"/>
              <w:rPr>
                <w:sz w:val="24"/>
                <w:szCs w:val="24"/>
              </w:rPr>
            </w:pPr>
            <w:r>
              <w:rPr>
                <w:rFonts w:hAnsi="宋体"/>
                <w:sz w:val="24"/>
                <w:szCs w:val="24"/>
              </w:rPr>
              <w:t>平均无故障时间</w:t>
            </w:r>
            <w:r>
              <w:rPr>
                <w:sz w:val="24"/>
                <w:szCs w:val="24"/>
              </w:rPr>
              <w:t>(MTBF)</w:t>
            </w:r>
          </w:p>
        </w:tc>
        <w:tc>
          <w:tcPr>
            <w:tcW w:w="687" w:type="dxa"/>
            <w:vAlign w:val="center"/>
          </w:tcPr>
          <w:p w14:paraId="09937571">
            <w:pPr>
              <w:snapToGrid w:val="0"/>
              <w:spacing w:line="240" w:lineRule="auto"/>
              <w:ind w:firstLine="0" w:firstLineChars="0"/>
              <w:jc w:val="center"/>
            </w:pPr>
            <w:r>
              <w:t>h</w:t>
            </w:r>
          </w:p>
        </w:tc>
        <w:tc>
          <w:tcPr>
            <w:tcW w:w="2897" w:type="dxa"/>
            <w:vAlign w:val="center"/>
          </w:tcPr>
          <w:p w14:paraId="049C876F">
            <w:pPr>
              <w:spacing w:line="240" w:lineRule="auto"/>
              <w:ind w:firstLine="0" w:firstLineChars="0"/>
              <w:jc w:val="center"/>
            </w:pPr>
            <w:r>
              <w:t>&gt;60000h(100%</w:t>
            </w:r>
            <w:r>
              <w:rPr>
                <w:rFonts w:hAnsi="宋体"/>
              </w:rPr>
              <w:t>负荷</w:t>
            </w:r>
            <w:r>
              <w:t>)</w:t>
            </w:r>
          </w:p>
        </w:tc>
      </w:tr>
      <w:tr w14:paraId="399E9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6" w:type="dxa"/>
            <w:vAlign w:val="center"/>
          </w:tcPr>
          <w:p w14:paraId="7F39529B">
            <w:pPr>
              <w:snapToGrid w:val="0"/>
              <w:spacing w:line="240" w:lineRule="auto"/>
              <w:ind w:firstLine="0" w:firstLineChars="0"/>
              <w:jc w:val="center"/>
            </w:pPr>
            <w:r>
              <w:t>5</w:t>
            </w:r>
          </w:p>
        </w:tc>
        <w:tc>
          <w:tcPr>
            <w:tcW w:w="4254" w:type="dxa"/>
            <w:vAlign w:val="center"/>
          </w:tcPr>
          <w:p w14:paraId="6464CDD1">
            <w:pPr>
              <w:pStyle w:val="10"/>
              <w:snapToGrid w:val="0"/>
              <w:spacing w:before="62" w:beforeLines="20" w:after="62" w:afterLines="20" w:line="240" w:lineRule="auto"/>
              <w:ind w:firstLine="0" w:firstLineChars="0"/>
              <w:jc w:val="center"/>
              <w:rPr>
                <w:sz w:val="24"/>
                <w:szCs w:val="24"/>
              </w:rPr>
            </w:pPr>
            <w:r>
              <w:rPr>
                <w:rFonts w:hAnsi="宋体"/>
                <w:sz w:val="24"/>
                <w:szCs w:val="24"/>
              </w:rPr>
              <w:t>最大并发加密隧道数</w:t>
            </w:r>
          </w:p>
        </w:tc>
        <w:tc>
          <w:tcPr>
            <w:tcW w:w="687" w:type="dxa"/>
            <w:vAlign w:val="center"/>
          </w:tcPr>
          <w:p w14:paraId="589181B7">
            <w:pPr>
              <w:snapToGrid w:val="0"/>
              <w:spacing w:line="240" w:lineRule="auto"/>
              <w:ind w:firstLine="0" w:firstLineChars="0"/>
              <w:jc w:val="center"/>
            </w:pPr>
            <w:r>
              <w:rPr>
                <w:rFonts w:hAnsi="宋体"/>
              </w:rPr>
              <w:t>条</w:t>
            </w:r>
          </w:p>
        </w:tc>
        <w:tc>
          <w:tcPr>
            <w:tcW w:w="2897" w:type="dxa"/>
            <w:vAlign w:val="center"/>
          </w:tcPr>
          <w:p w14:paraId="1CD1FFFC">
            <w:pPr>
              <w:spacing w:line="240" w:lineRule="auto"/>
              <w:ind w:firstLine="0" w:firstLineChars="0"/>
              <w:jc w:val="center"/>
            </w:pPr>
            <w:r>
              <w:t>1024</w:t>
            </w:r>
            <w:r>
              <w:rPr>
                <w:rFonts w:hAnsi="宋体"/>
              </w:rPr>
              <w:t>条</w:t>
            </w:r>
          </w:p>
        </w:tc>
      </w:tr>
      <w:tr w14:paraId="0BB18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6" w:type="dxa"/>
            <w:vAlign w:val="center"/>
          </w:tcPr>
          <w:p w14:paraId="75FF765F">
            <w:pPr>
              <w:tabs>
                <w:tab w:val="center" w:pos="286"/>
              </w:tabs>
              <w:snapToGrid w:val="0"/>
              <w:spacing w:line="240" w:lineRule="auto"/>
              <w:ind w:firstLine="0" w:firstLineChars="0"/>
              <w:jc w:val="center"/>
            </w:pPr>
            <w:r>
              <w:t>6</w:t>
            </w:r>
          </w:p>
        </w:tc>
        <w:tc>
          <w:tcPr>
            <w:tcW w:w="4254" w:type="dxa"/>
            <w:vAlign w:val="center"/>
          </w:tcPr>
          <w:p w14:paraId="1F7A39C9">
            <w:pPr>
              <w:pStyle w:val="10"/>
              <w:snapToGrid w:val="0"/>
              <w:spacing w:before="62" w:beforeLines="20" w:after="62" w:afterLines="20" w:line="240" w:lineRule="auto"/>
              <w:ind w:firstLine="0" w:firstLineChars="0"/>
              <w:jc w:val="center"/>
              <w:rPr>
                <w:sz w:val="24"/>
                <w:szCs w:val="24"/>
              </w:rPr>
            </w:pPr>
            <w:r>
              <w:rPr>
                <w:rFonts w:hAnsi="宋体"/>
                <w:sz w:val="24"/>
                <w:szCs w:val="24"/>
              </w:rPr>
              <w:t>明文数据包吞吐量</w:t>
            </w:r>
          </w:p>
        </w:tc>
        <w:tc>
          <w:tcPr>
            <w:tcW w:w="687" w:type="dxa"/>
            <w:vAlign w:val="center"/>
          </w:tcPr>
          <w:p w14:paraId="2814BAC2">
            <w:pPr>
              <w:snapToGrid w:val="0"/>
              <w:spacing w:line="240" w:lineRule="auto"/>
              <w:ind w:firstLine="0" w:firstLineChars="0"/>
              <w:jc w:val="center"/>
            </w:pPr>
            <w:r>
              <w:t>Mbps</w:t>
            </w:r>
          </w:p>
        </w:tc>
        <w:tc>
          <w:tcPr>
            <w:tcW w:w="2897" w:type="dxa"/>
            <w:vAlign w:val="center"/>
          </w:tcPr>
          <w:p w14:paraId="46C26462">
            <w:pPr>
              <w:snapToGrid w:val="0"/>
              <w:spacing w:line="240" w:lineRule="auto"/>
              <w:ind w:firstLine="0" w:firstLineChars="0"/>
              <w:jc w:val="center"/>
            </w:pPr>
            <w:r>
              <w:t>95Mbps(50</w:t>
            </w:r>
            <w:r>
              <w:rPr>
                <w:rFonts w:hAnsi="宋体"/>
              </w:rPr>
              <w:t>条安全策略，</w:t>
            </w:r>
            <w:r>
              <w:t>1024</w:t>
            </w:r>
            <w:r>
              <w:rPr>
                <w:rFonts w:hAnsi="宋体"/>
              </w:rPr>
              <w:t>报文长度</w:t>
            </w:r>
            <w:r>
              <w:t>)</w:t>
            </w:r>
          </w:p>
        </w:tc>
      </w:tr>
      <w:tr w14:paraId="4FAC4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6" w:type="dxa"/>
            <w:vAlign w:val="center"/>
          </w:tcPr>
          <w:p w14:paraId="1D404927">
            <w:pPr>
              <w:snapToGrid w:val="0"/>
              <w:spacing w:line="240" w:lineRule="auto"/>
              <w:ind w:firstLine="0" w:firstLineChars="0"/>
              <w:jc w:val="center"/>
            </w:pPr>
            <w:r>
              <w:t>7</w:t>
            </w:r>
          </w:p>
        </w:tc>
        <w:tc>
          <w:tcPr>
            <w:tcW w:w="4254" w:type="dxa"/>
            <w:vAlign w:val="center"/>
          </w:tcPr>
          <w:p w14:paraId="1995F9EA">
            <w:pPr>
              <w:pStyle w:val="10"/>
              <w:snapToGrid w:val="0"/>
              <w:spacing w:before="62" w:beforeLines="20" w:after="62" w:afterLines="20" w:line="240" w:lineRule="auto"/>
              <w:ind w:firstLine="0" w:firstLineChars="0"/>
              <w:jc w:val="center"/>
              <w:rPr>
                <w:sz w:val="24"/>
                <w:szCs w:val="24"/>
              </w:rPr>
            </w:pPr>
            <w:r>
              <w:rPr>
                <w:rFonts w:hAnsi="宋体"/>
                <w:sz w:val="24"/>
                <w:szCs w:val="24"/>
              </w:rPr>
              <w:t>密文数据包吞吐量</w:t>
            </w:r>
          </w:p>
        </w:tc>
        <w:tc>
          <w:tcPr>
            <w:tcW w:w="687" w:type="dxa"/>
            <w:vAlign w:val="center"/>
          </w:tcPr>
          <w:p w14:paraId="44888BF1">
            <w:pPr>
              <w:snapToGrid w:val="0"/>
              <w:spacing w:line="240" w:lineRule="auto"/>
              <w:ind w:firstLine="0" w:firstLineChars="0"/>
              <w:jc w:val="center"/>
            </w:pPr>
            <w:r>
              <w:t>Mbps</w:t>
            </w:r>
          </w:p>
        </w:tc>
        <w:tc>
          <w:tcPr>
            <w:tcW w:w="2897" w:type="dxa"/>
            <w:vAlign w:val="center"/>
          </w:tcPr>
          <w:p w14:paraId="35678EB4">
            <w:pPr>
              <w:snapToGrid w:val="0"/>
              <w:spacing w:line="240" w:lineRule="auto"/>
              <w:ind w:firstLine="0" w:firstLineChars="0"/>
              <w:jc w:val="center"/>
            </w:pPr>
            <w:r>
              <w:t>25Mbps(50</w:t>
            </w:r>
            <w:r>
              <w:rPr>
                <w:rFonts w:hAnsi="宋体"/>
              </w:rPr>
              <w:t>条安全策略，</w:t>
            </w:r>
            <w:r>
              <w:t>1024</w:t>
            </w:r>
            <w:r>
              <w:rPr>
                <w:rFonts w:hAnsi="宋体"/>
              </w:rPr>
              <w:t>报文长度</w:t>
            </w:r>
            <w:r>
              <w:t>)</w:t>
            </w:r>
          </w:p>
        </w:tc>
      </w:tr>
      <w:tr w14:paraId="6161F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6" w:type="dxa"/>
            <w:vAlign w:val="center"/>
          </w:tcPr>
          <w:p w14:paraId="70A79B7F">
            <w:pPr>
              <w:snapToGrid w:val="0"/>
              <w:spacing w:line="240" w:lineRule="auto"/>
              <w:ind w:firstLine="0" w:firstLineChars="0"/>
              <w:jc w:val="center"/>
            </w:pPr>
            <w:r>
              <w:t>8</w:t>
            </w:r>
          </w:p>
        </w:tc>
        <w:tc>
          <w:tcPr>
            <w:tcW w:w="4254" w:type="dxa"/>
            <w:vAlign w:val="center"/>
          </w:tcPr>
          <w:p w14:paraId="2626CF61">
            <w:pPr>
              <w:pStyle w:val="10"/>
              <w:snapToGrid w:val="0"/>
              <w:spacing w:before="62" w:beforeLines="20" w:after="62" w:afterLines="20" w:line="240" w:lineRule="auto"/>
              <w:ind w:firstLine="0" w:firstLineChars="0"/>
              <w:jc w:val="center"/>
              <w:rPr>
                <w:sz w:val="24"/>
                <w:szCs w:val="24"/>
              </w:rPr>
            </w:pPr>
            <w:r>
              <w:rPr>
                <w:rFonts w:hAnsi="宋体"/>
                <w:sz w:val="24"/>
                <w:szCs w:val="24"/>
              </w:rPr>
              <w:t>数据包转发延迟</w:t>
            </w:r>
          </w:p>
        </w:tc>
        <w:tc>
          <w:tcPr>
            <w:tcW w:w="687" w:type="dxa"/>
            <w:vAlign w:val="center"/>
          </w:tcPr>
          <w:p w14:paraId="6E775E17">
            <w:pPr>
              <w:snapToGrid w:val="0"/>
              <w:spacing w:line="240" w:lineRule="auto"/>
              <w:ind w:firstLine="0" w:firstLineChars="0"/>
              <w:jc w:val="center"/>
            </w:pPr>
            <w:r>
              <w:t>ms</w:t>
            </w:r>
          </w:p>
        </w:tc>
        <w:tc>
          <w:tcPr>
            <w:tcW w:w="2897" w:type="dxa"/>
            <w:vAlign w:val="center"/>
          </w:tcPr>
          <w:p w14:paraId="1F5C4375">
            <w:pPr>
              <w:snapToGrid w:val="0"/>
              <w:spacing w:line="240" w:lineRule="auto"/>
              <w:ind w:firstLine="0" w:firstLineChars="0"/>
              <w:jc w:val="center"/>
            </w:pPr>
            <w:r>
              <w:rPr>
                <w:rFonts w:hAnsi="宋体"/>
              </w:rPr>
              <w:t>＜</w:t>
            </w:r>
            <w:r>
              <w:t>1ms</w:t>
            </w:r>
          </w:p>
        </w:tc>
      </w:tr>
      <w:tr w14:paraId="47C2E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6" w:type="dxa"/>
            <w:vAlign w:val="center"/>
          </w:tcPr>
          <w:p w14:paraId="602E069C">
            <w:pPr>
              <w:snapToGrid w:val="0"/>
              <w:spacing w:line="240" w:lineRule="auto"/>
              <w:ind w:firstLine="0" w:firstLineChars="0"/>
              <w:jc w:val="center"/>
            </w:pPr>
            <w:r>
              <w:t>9</w:t>
            </w:r>
          </w:p>
        </w:tc>
        <w:tc>
          <w:tcPr>
            <w:tcW w:w="4254" w:type="dxa"/>
            <w:vAlign w:val="center"/>
          </w:tcPr>
          <w:p w14:paraId="13DD59E7">
            <w:pPr>
              <w:pStyle w:val="10"/>
              <w:snapToGrid w:val="0"/>
              <w:spacing w:before="62" w:beforeLines="20" w:after="62" w:afterLines="20" w:line="240" w:lineRule="auto"/>
              <w:ind w:firstLine="0" w:firstLineChars="0"/>
              <w:jc w:val="center"/>
              <w:rPr>
                <w:sz w:val="24"/>
                <w:szCs w:val="24"/>
              </w:rPr>
            </w:pPr>
            <w:r>
              <w:rPr>
                <w:sz w:val="24"/>
                <w:szCs w:val="24"/>
              </w:rPr>
              <w:t>100M LAN</w:t>
            </w:r>
            <w:r>
              <w:rPr>
                <w:rFonts w:hAnsi="宋体"/>
                <w:sz w:val="24"/>
                <w:szCs w:val="24"/>
              </w:rPr>
              <w:t>环境下，加密隧道建立延迟</w:t>
            </w:r>
          </w:p>
        </w:tc>
        <w:tc>
          <w:tcPr>
            <w:tcW w:w="687" w:type="dxa"/>
            <w:vAlign w:val="center"/>
          </w:tcPr>
          <w:p w14:paraId="6270D68F">
            <w:pPr>
              <w:snapToGrid w:val="0"/>
              <w:spacing w:line="240" w:lineRule="auto"/>
              <w:ind w:firstLine="0" w:firstLineChars="0"/>
              <w:jc w:val="center"/>
            </w:pPr>
            <w:r>
              <w:t>ms</w:t>
            </w:r>
          </w:p>
        </w:tc>
        <w:tc>
          <w:tcPr>
            <w:tcW w:w="2897" w:type="dxa"/>
            <w:vAlign w:val="center"/>
          </w:tcPr>
          <w:p w14:paraId="7170E290">
            <w:pPr>
              <w:snapToGrid w:val="0"/>
              <w:spacing w:line="240" w:lineRule="auto"/>
              <w:ind w:firstLine="0" w:firstLineChars="0"/>
              <w:jc w:val="center"/>
            </w:pPr>
            <w:r>
              <w:rPr>
                <w:rFonts w:hAnsi="宋体"/>
              </w:rPr>
              <w:t>＜</w:t>
            </w:r>
            <w:r>
              <w:t>1ms</w:t>
            </w:r>
            <w:r>
              <w:rPr>
                <w:rFonts w:hAnsi="宋体"/>
                <w:kern w:val="21"/>
              </w:rPr>
              <w:t>（</w:t>
            </w:r>
            <w:r>
              <w:t>50%</w:t>
            </w:r>
            <w:r>
              <w:rPr>
                <w:rFonts w:hAnsi="宋体"/>
              </w:rPr>
              <w:t>数据吞吐量</w:t>
            </w:r>
            <w:r>
              <w:rPr>
                <w:rFonts w:hAnsi="宋体"/>
                <w:kern w:val="21"/>
              </w:rPr>
              <w:t>）</w:t>
            </w:r>
          </w:p>
        </w:tc>
      </w:tr>
      <w:tr w14:paraId="76ABF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6" w:type="dxa"/>
            <w:vAlign w:val="center"/>
          </w:tcPr>
          <w:p w14:paraId="41520C60">
            <w:pPr>
              <w:snapToGrid w:val="0"/>
              <w:spacing w:line="240" w:lineRule="auto"/>
              <w:ind w:firstLine="0" w:firstLineChars="0"/>
              <w:jc w:val="center"/>
            </w:pPr>
            <w:r>
              <w:t>10</w:t>
            </w:r>
          </w:p>
        </w:tc>
        <w:tc>
          <w:tcPr>
            <w:tcW w:w="4254" w:type="dxa"/>
            <w:vAlign w:val="center"/>
          </w:tcPr>
          <w:p w14:paraId="23031681">
            <w:pPr>
              <w:pStyle w:val="10"/>
              <w:snapToGrid w:val="0"/>
              <w:spacing w:before="62" w:beforeLines="20" w:after="62" w:afterLines="20" w:line="240" w:lineRule="auto"/>
              <w:ind w:firstLine="0" w:firstLineChars="0"/>
              <w:jc w:val="center"/>
              <w:rPr>
                <w:sz w:val="24"/>
                <w:szCs w:val="24"/>
              </w:rPr>
            </w:pPr>
            <w:r>
              <w:rPr>
                <w:rFonts w:hAnsi="宋体"/>
                <w:sz w:val="24"/>
                <w:szCs w:val="24"/>
              </w:rPr>
              <w:t>满负荷数据包丢弃率</w:t>
            </w:r>
          </w:p>
        </w:tc>
        <w:tc>
          <w:tcPr>
            <w:tcW w:w="687" w:type="dxa"/>
            <w:vAlign w:val="center"/>
          </w:tcPr>
          <w:p w14:paraId="0761545E">
            <w:pPr>
              <w:snapToGrid w:val="0"/>
              <w:spacing w:line="240" w:lineRule="auto"/>
              <w:ind w:firstLine="0" w:firstLineChars="0"/>
              <w:jc w:val="center"/>
            </w:pPr>
            <w:r>
              <w:t>%</w:t>
            </w:r>
          </w:p>
        </w:tc>
        <w:tc>
          <w:tcPr>
            <w:tcW w:w="2897" w:type="dxa"/>
            <w:vAlign w:val="center"/>
          </w:tcPr>
          <w:p w14:paraId="0CD0F343">
            <w:pPr>
              <w:snapToGrid w:val="0"/>
              <w:spacing w:line="240" w:lineRule="auto"/>
              <w:ind w:firstLine="0" w:firstLineChars="0"/>
              <w:jc w:val="center"/>
            </w:pPr>
            <w:r>
              <w:t>0</w:t>
            </w:r>
          </w:p>
        </w:tc>
      </w:tr>
    </w:tbl>
    <w:p w14:paraId="5E98590C">
      <w:pPr>
        <w:snapToGrid w:val="0"/>
        <w:spacing w:line="440" w:lineRule="exact"/>
        <w:rPr>
          <w:sz w:val="24"/>
        </w:rPr>
      </w:pPr>
      <w:r>
        <w:rPr>
          <w:rFonts w:hint="eastAsia"/>
          <w:sz w:val="24"/>
        </w:rPr>
        <w:t>4.5</w:t>
      </w:r>
      <w:r>
        <w:rPr>
          <w:sz w:val="24"/>
        </w:rPr>
        <w:t>.1  装置应满足相关国家规范及电网要求。</w:t>
      </w:r>
    </w:p>
    <w:p w14:paraId="3091E050">
      <w:pPr>
        <w:snapToGrid w:val="0"/>
        <w:spacing w:line="440" w:lineRule="exact"/>
        <w:rPr>
          <w:sz w:val="24"/>
        </w:rPr>
      </w:pPr>
      <w:r>
        <w:rPr>
          <w:rFonts w:hint="eastAsia"/>
          <w:sz w:val="24"/>
        </w:rPr>
        <w:t>4.5</w:t>
      </w:r>
      <w:r>
        <w:rPr>
          <w:sz w:val="24"/>
        </w:rPr>
        <w:t>.2  装置应具有状态指示，开机自检功能。</w:t>
      </w:r>
    </w:p>
    <w:p w14:paraId="61A0BB17">
      <w:pPr>
        <w:snapToGrid w:val="0"/>
        <w:spacing w:line="440" w:lineRule="exact"/>
        <w:rPr>
          <w:sz w:val="24"/>
        </w:rPr>
      </w:pPr>
      <w:r>
        <w:rPr>
          <w:rFonts w:hint="eastAsia"/>
          <w:sz w:val="24"/>
        </w:rPr>
        <w:t>4.5</w:t>
      </w:r>
      <w:r>
        <w:rPr>
          <w:sz w:val="24"/>
        </w:rPr>
        <w:t>.3  装置应提供安全、方便的维护管理方式，例如基于图形化的管理界面，方便对装置进行设置、监视和控制运行。</w:t>
      </w:r>
    </w:p>
    <w:p w14:paraId="153677C1">
      <w:pPr>
        <w:snapToGrid w:val="0"/>
        <w:spacing w:line="440" w:lineRule="exact"/>
        <w:rPr>
          <w:sz w:val="24"/>
        </w:rPr>
      </w:pPr>
      <w:r>
        <w:rPr>
          <w:rFonts w:hint="eastAsia"/>
          <w:sz w:val="24"/>
        </w:rPr>
        <w:t>4.5</w:t>
      </w:r>
      <w:r>
        <w:rPr>
          <w:sz w:val="24"/>
        </w:rPr>
        <w:t>.4  装置应支持工作参数的备份与恢复。</w:t>
      </w:r>
    </w:p>
    <w:p w14:paraId="49A9F304">
      <w:pPr>
        <w:snapToGrid w:val="0"/>
        <w:spacing w:line="440" w:lineRule="exact"/>
        <w:rPr>
          <w:sz w:val="24"/>
        </w:rPr>
      </w:pPr>
      <w:r>
        <w:rPr>
          <w:rFonts w:hint="eastAsia"/>
          <w:sz w:val="24"/>
        </w:rPr>
        <w:t>4.5</w:t>
      </w:r>
      <w:r>
        <w:rPr>
          <w:sz w:val="24"/>
        </w:rPr>
        <w:t>.5  装置应采用电力专用密码算法对传输的数据进行加密保护，保证数据的真实性、机密性和完整性。</w:t>
      </w:r>
    </w:p>
    <w:p w14:paraId="18725A30">
      <w:pPr>
        <w:snapToGrid w:val="0"/>
        <w:spacing w:line="440" w:lineRule="exact"/>
        <w:rPr>
          <w:sz w:val="24"/>
        </w:rPr>
      </w:pPr>
      <w:r>
        <w:rPr>
          <w:rFonts w:hint="eastAsia"/>
          <w:sz w:val="24"/>
        </w:rPr>
        <w:t>4.5</w:t>
      </w:r>
      <w:r>
        <w:rPr>
          <w:sz w:val="24"/>
        </w:rPr>
        <w:t>.6  装置应具有基于IP、传输协议、应用端口号的综合报文过滤与访问控制功能。</w:t>
      </w:r>
    </w:p>
    <w:p w14:paraId="1593A9CB">
      <w:pPr>
        <w:snapToGrid w:val="0"/>
        <w:spacing w:line="440" w:lineRule="exact"/>
        <w:rPr>
          <w:sz w:val="24"/>
        </w:rPr>
      </w:pPr>
      <w:r>
        <w:rPr>
          <w:rFonts w:hint="eastAsia"/>
          <w:sz w:val="24"/>
        </w:rPr>
        <w:t>4.5</w:t>
      </w:r>
      <w:r>
        <w:rPr>
          <w:sz w:val="24"/>
        </w:rPr>
        <w:t>.7  装置必须能够识别、处理网络正常运行所需要的路由协议报文及其他协议报文。</w:t>
      </w:r>
    </w:p>
    <w:p w14:paraId="1C21D454">
      <w:pPr>
        <w:snapToGrid w:val="0"/>
        <w:spacing w:line="440" w:lineRule="exact"/>
        <w:rPr>
          <w:sz w:val="24"/>
        </w:rPr>
      </w:pPr>
      <w:r>
        <w:rPr>
          <w:rFonts w:hint="eastAsia"/>
          <w:sz w:val="24"/>
        </w:rPr>
        <w:t>4.5</w:t>
      </w:r>
      <w:r>
        <w:rPr>
          <w:sz w:val="24"/>
        </w:rPr>
        <w:t>.8  装置必须能够识别、过滤、转发Trunk协议的报文，本地配置功能必须支持设置VLanID。</w:t>
      </w:r>
    </w:p>
    <w:p w14:paraId="22557882">
      <w:pPr>
        <w:snapToGrid w:val="0"/>
        <w:spacing w:line="440" w:lineRule="exact"/>
        <w:rPr>
          <w:sz w:val="24"/>
        </w:rPr>
      </w:pPr>
      <w:r>
        <w:rPr>
          <w:rFonts w:hint="eastAsia"/>
          <w:sz w:val="24"/>
        </w:rPr>
        <w:t>4.5</w:t>
      </w:r>
      <w:r>
        <w:rPr>
          <w:sz w:val="24"/>
        </w:rPr>
        <w:t>.9  网络环境适应性方面，必须支持多种网络接入环境，包括标准的802.1Q 多VLAN环境、地址借用的网络环境、单进单出网络环境和多进多出网络环境等。</w:t>
      </w:r>
    </w:p>
    <w:p w14:paraId="4BA3695F">
      <w:pPr>
        <w:snapToGrid w:val="0"/>
        <w:spacing w:line="440" w:lineRule="exact"/>
        <w:rPr>
          <w:sz w:val="24"/>
        </w:rPr>
      </w:pPr>
      <w:r>
        <w:rPr>
          <w:rFonts w:hint="eastAsia"/>
          <w:sz w:val="24"/>
        </w:rPr>
        <w:t>4.5</w:t>
      </w:r>
      <w:r>
        <w:rPr>
          <w:sz w:val="24"/>
        </w:rPr>
        <w:t>.10  装置应支持通过远程装置管理中心准确可靠实现远程的访问管理、装置重启、隧道初始化和策略添加等功能。</w:t>
      </w:r>
    </w:p>
    <w:p w14:paraId="35292AAD">
      <w:pPr>
        <w:snapToGrid w:val="0"/>
        <w:spacing w:line="440" w:lineRule="exact"/>
        <w:rPr>
          <w:sz w:val="24"/>
        </w:rPr>
      </w:pPr>
      <w:r>
        <w:rPr>
          <w:rFonts w:hint="eastAsia"/>
          <w:sz w:val="24"/>
        </w:rPr>
        <w:t>4.5</w:t>
      </w:r>
      <w:r>
        <w:rPr>
          <w:sz w:val="24"/>
        </w:rPr>
        <w:t>.11  装置应支持双机热备功能，保证系统的高可靠性。</w:t>
      </w:r>
    </w:p>
    <w:p w14:paraId="0F57AAC4">
      <w:pPr>
        <w:snapToGrid w:val="0"/>
        <w:spacing w:line="440" w:lineRule="exact"/>
        <w:rPr>
          <w:sz w:val="24"/>
        </w:rPr>
      </w:pPr>
      <w:r>
        <w:rPr>
          <w:rFonts w:hint="eastAsia"/>
          <w:sz w:val="24"/>
        </w:rPr>
        <w:t>4.5</w:t>
      </w:r>
      <w:r>
        <w:rPr>
          <w:sz w:val="24"/>
        </w:rPr>
        <w:t>.12  装置之间应支持基于电力数字证书的认证。</w:t>
      </w:r>
    </w:p>
    <w:p w14:paraId="5B110389">
      <w:pPr>
        <w:snapToGrid w:val="0"/>
        <w:spacing w:line="440" w:lineRule="exact"/>
        <w:rPr>
          <w:sz w:val="24"/>
        </w:rPr>
      </w:pPr>
      <w:r>
        <w:rPr>
          <w:rFonts w:hint="eastAsia"/>
          <w:sz w:val="24"/>
        </w:rPr>
        <w:t>4.5</w:t>
      </w:r>
      <w:r>
        <w:rPr>
          <w:sz w:val="24"/>
        </w:rPr>
        <w:t>.13  装置应支持基于加密隧道的明通功能，根据安全策略，可以对不同的隧道分别设置加密或明通。</w:t>
      </w:r>
    </w:p>
    <w:p w14:paraId="24AF0F87">
      <w:pPr>
        <w:snapToGrid w:val="0"/>
        <w:spacing w:line="440" w:lineRule="exact"/>
        <w:rPr>
          <w:sz w:val="24"/>
        </w:rPr>
      </w:pPr>
      <w:r>
        <w:rPr>
          <w:rFonts w:hint="eastAsia"/>
          <w:sz w:val="24"/>
        </w:rPr>
        <w:t>4.5</w:t>
      </w:r>
      <w:r>
        <w:rPr>
          <w:sz w:val="24"/>
        </w:rPr>
        <w:t>.14  为便于故障应急处理，装置应支持硬旁路明通模式，不允许软件方式。</w:t>
      </w:r>
    </w:p>
    <w:p w14:paraId="241DAD49">
      <w:pPr>
        <w:snapToGrid w:val="0"/>
        <w:spacing w:line="440" w:lineRule="exact"/>
        <w:rPr>
          <w:sz w:val="24"/>
        </w:rPr>
      </w:pPr>
      <w:r>
        <w:rPr>
          <w:rFonts w:hint="eastAsia"/>
          <w:sz w:val="24"/>
        </w:rPr>
        <w:t>4.5</w:t>
      </w:r>
      <w:r>
        <w:rPr>
          <w:sz w:val="24"/>
        </w:rPr>
        <w:t>.15  装置一旦发现隧道对端装置断开或者明通应支持明通自适应功能，自动将加密处理的报文转为明通处理。</w:t>
      </w:r>
    </w:p>
    <w:p w14:paraId="15D2FCAE">
      <w:pPr>
        <w:snapToGrid w:val="0"/>
        <w:spacing w:line="440" w:lineRule="exact"/>
        <w:rPr>
          <w:sz w:val="24"/>
        </w:rPr>
      </w:pPr>
      <w:r>
        <w:rPr>
          <w:rFonts w:hint="eastAsia"/>
          <w:sz w:val="24"/>
        </w:rPr>
        <w:t>4.5</w:t>
      </w:r>
      <w:r>
        <w:rPr>
          <w:sz w:val="24"/>
        </w:rPr>
        <w:t>.16  支持系统告警，支持完备的安全事件告警机制，当发生非法入侵、装置异常、通信中断或丢失应用数据时，可通过加密认证设备专用的告警串口或网络输出报警信息，日志格式遵循Syslog标准。</w:t>
      </w:r>
    </w:p>
    <w:p w14:paraId="214502FF">
      <w:pPr>
        <w:snapToGrid w:val="0"/>
        <w:spacing w:line="440" w:lineRule="exact"/>
        <w:rPr>
          <w:sz w:val="24"/>
        </w:rPr>
      </w:pPr>
      <w:r>
        <w:rPr>
          <w:rFonts w:hint="eastAsia"/>
          <w:sz w:val="24"/>
        </w:rPr>
        <w:t>4.5</w:t>
      </w:r>
      <w:r>
        <w:rPr>
          <w:sz w:val="24"/>
        </w:rPr>
        <w:t>.17  提供完备的日志审计功能。</w:t>
      </w:r>
    </w:p>
    <w:p w14:paraId="7E2801E2">
      <w:pPr>
        <w:snapToGrid w:val="0"/>
        <w:spacing w:line="440" w:lineRule="exact"/>
        <w:rPr>
          <w:sz w:val="24"/>
        </w:rPr>
      </w:pPr>
      <w:r>
        <w:rPr>
          <w:rFonts w:hint="eastAsia"/>
          <w:sz w:val="24"/>
        </w:rPr>
        <w:t>4.5</w:t>
      </w:r>
      <w:r>
        <w:rPr>
          <w:sz w:val="24"/>
        </w:rPr>
        <w:t>.18  装置应支持不同</w:t>
      </w:r>
      <w:r>
        <w:rPr>
          <w:rFonts w:hint="eastAsia"/>
          <w:sz w:val="24"/>
        </w:rPr>
        <w:t>卖家</w:t>
      </w:r>
      <w:r>
        <w:rPr>
          <w:sz w:val="24"/>
        </w:rPr>
        <w:t>设备的互联互通。</w:t>
      </w:r>
    </w:p>
    <w:p w14:paraId="74B25EC3">
      <w:pPr>
        <w:snapToGrid w:val="0"/>
        <w:spacing w:line="440" w:lineRule="exact"/>
        <w:ind w:firstLine="0" w:firstLineChars="0"/>
        <w:jc w:val="both"/>
        <w:outlineLvl w:val="1"/>
        <w:rPr>
          <w:rFonts w:ascii="宋体" w:hAnsi="宋体" w:cs="宋体"/>
          <w:b/>
          <w:color w:val="000000"/>
          <w:sz w:val="24"/>
        </w:rPr>
      </w:pPr>
      <w:bookmarkStart w:id="28" w:name="_Toc526848521"/>
      <w:bookmarkStart w:id="29" w:name="_Toc169078725"/>
      <w:bookmarkStart w:id="30" w:name="_Toc524434624"/>
      <w:r>
        <w:rPr>
          <w:rFonts w:hint="eastAsia" w:ascii="宋体" w:hAnsi="宋体" w:cs="宋体"/>
          <w:b/>
          <w:color w:val="000000"/>
          <w:sz w:val="24"/>
        </w:rPr>
        <w:t>4.</w:t>
      </w:r>
      <w:r>
        <w:rPr>
          <w:rFonts w:ascii="宋体" w:hAnsi="宋体" w:cs="宋体"/>
          <w:b/>
          <w:color w:val="000000"/>
          <w:sz w:val="24"/>
        </w:rPr>
        <w:t>6</w:t>
      </w:r>
      <w:r>
        <w:rPr>
          <w:rFonts w:hint="eastAsia" w:ascii="宋体" w:hAnsi="宋体" w:cs="宋体"/>
          <w:b/>
          <w:color w:val="000000"/>
          <w:sz w:val="24"/>
        </w:rPr>
        <w:t xml:space="preserve"> 主机加固软件技术要求</w:t>
      </w:r>
      <w:bookmarkEnd w:id="28"/>
      <w:bookmarkEnd w:id="29"/>
      <w:bookmarkEnd w:id="30"/>
    </w:p>
    <w:p w14:paraId="7FC0264A">
      <w:pPr>
        <w:snapToGrid w:val="0"/>
        <w:spacing w:line="440" w:lineRule="exact"/>
        <w:rPr>
          <w:sz w:val="24"/>
        </w:rPr>
      </w:pPr>
      <w:r>
        <w:rPr>
          <w:rFonts w:hint="eastAsia"/>
          <w:sz w:val="24"/>
        </w:rPr>
        <w:t>提供全项通过公安部颁发的具备国家安全操作系统要求的等级保护三级要求测评报告和计算机信息系统访问控制类安全专用产品销售许可证；未有电力行业不良记录。</w:t>
      </w:r>
    </w:p>
    <w:p w14:paraId="6EC0CA12">
      <w:pPr>
        <w:snapToGrid w:val="0"/>
        <w:spacing w:line="440" w:lineRule="exact"/>
        <w:rPr>
          <w:sz w:val="24"/>
        </w:rPr>
      </w:pPr>
      <w:r>
        <w:rPr>
          <w:rFonts w:hint="eastAsia"/>
          <w:sz w:val="24"/>
        </w:rPr>
        <w:t xml:space="preserve">通过国家电网安全实验室测评合格5年以上，并提供测评报告； </w:t>
      </w:r>
    </w:p>
    <w:p w14:paraId="3C58A6CE">
      <w:pPr>
        <w:snapToGrid w:val="0"/>
        <w:spacing w:line="440" w:lineRule="exact"/>
        <w:rPr>
          <w:sz w:val="24"/>
        </w:rPr>
      </w:pPr>
      <w:r>
        <w:rPr>
          <w:rFonts w:hint="eastAsia"/>
          <w:sz w:val="24"/>
        </w:rPr>
        <w:t>具有系统自身的保护功能，保护系统自身进程不被异常终止、伪造、信息注入。</w:t>
      </w:r>
    </w:p>
    <w:p w14:paraId="16234AA1">
      <w:pPr>
        <w:snapToGrid w:val="0"/>
        <w:spacing w:line="440" w:lineRule="exact"/>
        <w:rPr>
          <w:sz w:val="24"/>
        </w:rPr>
      </w:pPr>
      <w:r>
        <w:rPr>
          <w:rFonts w:hint="eastAsia"/>
          <w:sz w:val="24"/>
        </w:rPr>
        <w:t>支持多种安全模型如RBAC、DTE、BLP等。并使各模型能够协同运作。</w:t>
      </w:r>
    </w:p>
    <w:p w14:paraId="07096144">
      <w:pPr>
        <w:snapToGrid w:val="0"/>
        <w:spacing w:line="440" w:lineRule="exact"/>
        <w:rPr>
          <w:sz w:val="24"/>
        </w:rPr>
      </w:pPr>
      <w:r>
        <w:rPr>
          <w:rFonts w:hint="eastAsia"/>
          <w:sz w:val="24"/>
        </w:rPr>
        <w:t>支持在操作系统空间中实现根据不同的用户应用分别创建出多个虚拟空间，实现用户与用户之间的隔离，应用与应用之间的隔离，用户可将需要保护应用的用户、进程，所需资源</w:t>
      </w:r>
      <w:r>
        <w:rPr>
          <w:sz w:val="24"/>
        </w:rPr>
        <w:t>(</w:t>
      </w:r>
      <w:r>
        <w:rPr>
          <w:rFonts w:hint="eastAsia"/>
          <w:sz w:val="24"/>
        </w:rPr>
        <w:t>例如：文件、进程、服务、磁盘、设备、通信端口等</w:t>
      </w:r>
      <w:r>
        <w:rPr>
          <w:sz w:val="24"/>
        </w:rPr>
        <w:t>)</w:t>
      </w:r>
      <w:r>
        <w:rPr>
          <w:rFonts w:hint="eastAsia"/>
          <w:sz w:val="24"/>
        </w:rPr>
        <w:t>，添加进被保护应用所对应的安全域内。实现用户与系统之间的隔离。对于原有应用来说都是完全透明的，对于原有应用的业务不会有丝毫改变。</w:t>
      </w:r>
    </w:p>
    <w:p w14:paraId="6F1048E0">
      <w:pPr>
        <w:snapToGrid w:val="0"/>
        <w:spacing w:line="440" w:lineRule="exact"/>
        <w:rPr>
          <w:sz w:val="24"/>
        </w:rPr>
      </w:pPr>
      <w:r>
        <w:rPr>
          <w:rFonts w:hint="eastAsia"/>
          <w:sz w:val="24"/>
        </w:rPr>
        <w:t>支持细粒度的多种资源客体的强制访问控制，允许多种资源主体类型以不同访问权限对多种资源客体设制访问规则。访问控制资源客体包含文件、端口、进程、服务、网络共享、磁盘、注册表</w:t>
      </w:r>
      <w:r>
        <w:rPr>
          <w:sz w:val="24"/>
        </w:rPr>
        <w:t>(</w:t>
      </w:r>
      <w:r>
        <w:rPr>
          <w:rFonts w:hint="eastAsia"/>
          <w:sz w:val="24"/>
        </w:rPr>
        <w:t>仅</w:t>
      </w:r>
      <w:r>
        <w:rPr>
          <w:sz w:val="24"/>
        </w:rPr>
        <w:t>Windows)</w:t>
      </w:r>
      <w:r>
        <w:rPr>
          <w:rFonts w:hint="eastAsia"/>
          <w:sz w:val="24"/>
        </w:rPr>
        <w:t>。</w:t>
      </w:r>
    </w:p>
    <w:p w14:paraId="52DBCF93">
      <w:pPr>
        <w:snapToGrid w:val="0"/>
        <w:spacing w:line="440" w:lineRule="exact"/>
        <w:rPr>
          <w:sz w:val="24"/>
        </w:rPr>
      </w:pPr>
      <w:r>
        <w:rPr>
          <w:rFonts w:hint="eastAsia"/>
          <w:sz w:val="24"/>
        </w:rPr>
        <w:t>支持对各种资源添加敏感标记。</w:t>
      </w:r>
    </w:p>
    <w:p w14:paraId="0386F5E6">
      <w:pPr>
        <w:snapToGrid w:val="0"/>
        <w:spacing w:line="440" w:lineRule="exact"/>
        <w:rPr>
          <w:sz w:val="24"/>
        </w:rPr>
      </w:pPr>
      <w:r>
        <w:rPr>
          <w:rFonts w:hint="eastAsia"/>
          <w:sz w:val="24"/>
        </w:rPr>
        <w:t>支持对各种资源的异常检测。如CPU、内存、磁盘、进程等。并且可进行报警。</w:t>
      </w:r>
    </w:p>
    <w:p w14:paraId="10865B2F">
      <w:pPr>
        <w:snapToGrid w:val="0"/>
        <w:spacing w:line="440" w:lineRule="exact"/>
        <w:rPr>
          <w:sz w:val="24"/>
        </w:rPr>
      </w:pPr>
      <w:r>
        <w:rPr>
          <w:rFonts w:hint="eastAsia"/>
          <w:sz w:val="24"/>
        </w:rPr>
        <w:t>支持多种资源的完整性检测如：文件、账户、服务、磁盘、注册表等。通过记录和对比指定资源客体，进行校验来实现完整性检测，并能够进行恢复。</w:t>
      </w:r>
    </w:p>
    <w:p w14:paraId="629704E0">
      <w:pPr>
        <w:snapToGrid w:val="0"/>
        <w:spacing w:line="440" w:lineRule="exact"/>
        <w:rPr>
          <w:sz w:val="24"/>
        </w:rPr>
      </w:pPr>
      <w:r>
        <w:rPr>
          <w:rFonts w:hint="eastAsia"/>
          <w:sz w:val="24"/>
        </w:rPr>
        <w:t>支持磁盘剩余信息清除，动态接管原系统删除动作，完全清除存储空间中的信息。</w:t>
      </w:r>
    </w:p>
    <w:p w14:paraId="51E369C8">
      <w:pPr>
        <w:snapToGrid w:val="0"/>
        <w:spacing w:line="440" w:lineRule="exact"/>
        <w:rPr>
          <w:sz w:val="24"/>
        </w:rPr>
      </w:pPr>
      <w:r>
        <w:rPr>
          <w:rFonts w:hint="eastAsia"/>
          <w:sz w:val="24"/>
        </w:rPr>
        <w:t>执行剩余信息清除后信息不可恢复，该操作对于用户来说完全透明。</w:t>
      </w:r>
    </w:p>
    <w:p w14:paraId="5C7AC812">
      <w:pPr>
        <w:snapToGrid w:val="0"/>
        <w:spacing w:line="440" w:lineRule="exact"/>
        <w:rPr>
          <w:sz w:val="24"/>
        </w:rPr>
      </w:pPr>
      <w:r>
        <w:rPr>
          <w:rFonts w:hint="eastAsia"/>
          <w:sz w:val="24"/>
        </w:rPr>
        <w:t>支持动态文件透明加解密技术，安全域内文件对合法用户透明访问，安全域外非法用户无法访问文件。</w:t>
      </w:r>
    </w:p>
    <w:p w14:paraId="2803E90D">
      <w:pPr>
        <w:snapToGrid w:val="0"/>
        <w:spacing w:line="440" w:lineRule="exact"/>
        <w:rPr>
          <w:sz w:val="24"/>
        </w:rPr>
      </w:pPr>
      <w:r>
        <w:rPr>
          <w:rFonts w:hint="eastAsia"/>
          <w:sz w:val="24"/>
        </w:rPr>
        <w:t>能够实现完全透明的客体重用功能。</w:t>
      </w:r>
    </w:p>
    <w:p w14:paraId="4E5F7906">
      <w:pPr>
        <w:snapToGrid w:val="0"/>
        <w:spacing w:line="440" w:lineRule="exact"/>
        <w:rPr>
          <w:sz w:val="24"/>
        </w:rPr>
      </w:pPr>
      <w:r>
        <w:rPr>
          <w:rFonts w:hint="eastAsia"/>
          <w:sz w:val="24"/>
        </w:rPr>
        <w:t>支持资源控制功能，如强制磁盘配额。</w:t>
      </w:r>
    </w:p>
    <w:p w14:paraId="5379A6BD">
      <w:pPr>
        <w:snapToGrid w:val="0"/>
        <w:spacing w:line="440" w:lineRule="exact"/>
        <w:rPr>
          <w:sz w:val="24"/>
        </w:rPr>
      </w:pPr>
      <w:r>
        <w:rPr>
          <w:rFonts w:hint="eastAsia"/>
          <w:sz w:val="24"/>
        </w:rPr>
        <w:t>能够实现三级要求的三权分立标准。并支持双重身份认证及强身份认证功能，能够使用USB-KEY硬件认证管理员身份。</w:t>
      </w:r>
    </w:p>
    <w:p w14:paraId="6105291C">
      <w:pPr>
        <w:snapToGrid w:val="0"/>
        <w:spacing w:line="440" w:lineRule="exact"/>
        <w:rPr>
          <w:sz w:val="24"/>
        </w:rPr>
      </w:pPr>
      <w:r>
        <w:rPr>
          <w:rFonts w:hint="eastAsia"/>
          <w:sz w:val="24"/>
        </w:rPr>
        <w:t>支持完善的JHSE审计功能。能够记录多种日志分类如：自主访问日志、强制访问控制日志，支持日志抗抵赖功能。</w:t>
      </w:r>
    </w:p>
    <w:p w14:paraId="312ECBEB">
      <w:pPr>
        <w:snapToGrid w:val="0"/>
        <w:spacing w:line="440" w:lineRule="exact"/>
        <w:rPr>
          <w:sz w:val="24"/>
        </w:rPr>
      </w:pPr>
      <w:r>
        <w:rPr>
          <w:rFonts w:hint="eastAsia"/>
          <w:sz w:val="24"/>
        </w:rPr>
        <w:t>支持自动动态拓扑生成，集中管理功能。</w:t>
      </w:r>
    </w:p>
    <w:p w14:paraId="085BA365">
      <w:pPr>
        <w:snapToGrid w:val="0"/>
        <w:spacing w:line="440" w:lineRule="exact"/>
        <w:rPr>
          <w:sz w:val="24"/>
        </w:rPr>
      </w:pPr>
      <w:r>
        <w:rPr>
          <w:rFonts w:hint="eastAsia"/>
          <w:sz w:val="24"/>
        </w:rPr>
        <w:t>要求产品安装后对系统性能影响甚微，产品安装后不需重启系统。</w:t>
      </w:r>
    </w:p>
    <w:p w14:paraId="3D55F1A0">
      <w:pPr>
        <w:snapToGrid w:val="0"/>
        <w:spacing w:line="440" w:lineRule="exact"/>
        <w:ind w:firstLine="0" w:firstLineChars="0"/>
        <w:jc w:val="both"/>
        <w:outlineLvl w:val="1"/>
        <w:rPr>
          <w:rFonts w:ascii="宋体" w:hAnsi="宋体" w:cs="宋体"/>
          <w:b/>
          <w:color w:val="000000"/>
          <w:sz w:val="24"/>
        </w:rPr>
      </w:pPr>
      <w:bookmarkStart w:id="31" w:name="_Toc169078726"/>
      <w:r>
        <w:rPr>
          <w:rFonts w:hint="eastAsia" w:ascii="宋体" w:hAnsi="宋体" w:cs="宋体"/>
          <w:b/>
          <w:color w:val="000000"/>
          <w:sz w:val="24"/>
        </w:rPr>
        <w:t>4.</w:t>
      </w:r>
      <w:r>
        <w:rPr>
          <w:rFonts w:ascii="宋体" w:hAnsi="宋体" w:cs="宋体"/>
          <w:b/>
          <w:color w:val="000000"/>
          <w:sz w:val="24"/>
        </w:rPr>
        <w:t xml:space="preserve">7 </w:t>
      </w:r>
      <w:r>
        <w:rPr>
          <w:rFonts w:hint="eastAsia" w:ascii="宋体" w:hAnsi="宋体" w:cs="宋体"/>
          <w:b/>
          <w:color w:val="000000"/>
          <w:sz w:val="24"/>
        </w:rPr>
        <w:t>防病毒系统技术要求</w:t>
      </w:r>
      <w:bookmarkEnd w:id="31"/>
    </w:p>
    <w:p w14:paraId="027E91A7">
      <w:pPr>
        <w:snapToGrid w:val="0"/>
        <w:spacing w:line="440" w:lineRule="exact"/>
        <w:rPr>
          <w:sz w:val="24"/>
        </w:rPr>
      </w:pPr>
      <w:r>
        <w:rPr>
          <w:rFonts w:hint="eastAsia"/>
          <w:sz w:val="24"/>
        </w:rPr>
        <w:t>（1）防病毒软件应通过中国公安部的资质认证；</w:t>
      </w:r>
    </w:p>
    <w:p w14:paraId="50D06A99">
      <w:pPr>
        <w:snapToGrid w:val="0"/>
        <w:spacing w:line="440" w:lineRule="exact"/>
        <w:rPr>
          <w:sz w:val="24"/>
        </w:rPr>
      </w:pPr>
      <w:r>
        <w:rPr>
          <w:rFonts w:hint="eastAsia"/>
          <w:sz w:val="24"/>
        </w:rPr>
        <w:t>（2）考虑到防病毒系统在一个大型网络内运行，为此从技术上考虑防病毒系统必须能够从大型网络各个可能的入口点做病毒检测，由于现在的病毒攻击手段层出不穷，所以厂家提供的防病毒系统在产品体系上至少应具备以下组件：</w:t>
      </w:r>
    </w:p>
    <w:p w14:paraId="6DB61518">
      <w:pPr>
        <w:numPr>
          <w:ilvl w:val="0"/>
          <w:numId w:val="4"/>
        </w:numPr>
        <w:snapToGrid w:val="0"/>
        <w:spacing w:line="440" w:lineRule="exact"/>
        <w:ind w:firstLineChars="0"/>
        <w:rPr>
          <w:sz w:val="24"/>
        </w:rPr>
      </w:pPr>
      <w:r>
        <w:rPr>
          <w:rFonts w:hint="eastAsia"/>
          <w:sz w:val="24"/>
        </w:rPr>
        <w:t>特大型防病毒系统的管理软件</w:t>
      </w:r>
    </w:p>
    <w:p w14:paraId="66645DFB">
      <w:pPr>
        <w:numPr>
          <w:ilvl w:val="0"/>
          <w:numId w:val="4"/>
        </w:numPr>
        <w:snapToGrid w:val="0"/>
        <w:spacing w:line="440" w:lineRule="exact"/>
        <w:ind w:firstLineChars="0"/>
        <w:rPr>
          <w:sz w:val="24"/>
        </w:rPr>
      </w:pPr>
      <w:r>
        <w:rPr>
          <w:rFonts w:hint="eastAsia"/>
          <w:sz w:val="24"/>
        </w:rPr>
        <w:t>桌面机防病毒软件</w:t>
      </w:r>
    </w:p>
    <w:p w14:paraId="2F380DD6">
      <w:pPr>
        <w:numPr>
          <w:ilvl w:val="0"/>
          <w:numId w:val="4"/>
        </w:numPr>
        <w:snapToGrid w:val="0"/>
        <w:spacing w:line="440" w:lineRule="exact"/>
        <w:ind w:firstLineChars="0"/>
        <w:rPr>
          <w:sz w:val="24"/>
        </w:rPr>
      </w:pPr>
      <w:r>
        <w:rPr>
          <w:rFonts w:hint="eastAsia"/>
          <w:sz w:val="24"/>
        </w:rPr>
        <w:t>服务器防病毒软件</w:t>
      </w:r>
    </w:p>
    <w:p w14:paraId="4E1F740E">
      <w:pPr>
        <w:snapToGrid w:val="0"/>
        <w:spacing w:line="440" w:lineRule="exact"/>
        <w:rPr>
          <w:sz w:val="24"/>
        </w:rPr>
      </w:pPr>
      <w:r>
        <w:rPr>
          <w:rFonts w:hint="eastAsia"/>
          <w:sz w:val="24"/>
        </w:rPr>
        <w:t>（3）防病毒系统管理软件的技术要求：</w:t>
      </w:r>
    </w:p>
    <w:p w14:paraId="275B3C6E">
      <w:pPr>
        <w:numPr>
          <w:ilvl w:val="0"/>
          <w:numId w:val="5"/>
        </w:numPr>
        <w:snapToGrid w:val="0"/>
        <w:spacing w:line="440" w:lineRule="exact"/>
        <w:ind w:firstLineChars="0"/>
        <w:rPr>
          <w:sz w:val="24"/>
        </w:rPr>
      </w:pPr>
      <w:r>
        <w:rPr>
          <w:rFonts w:hint="eastAsia"/>
          <w:sz w:val="24"/>
        </w:rPr>
        <w:t>要求按1个管理端，20个客户节点配置防病毒软件。</w:t>
      </w:r>
    </w:p>
    <w:p w14:paraId="26EEFD3B">
      <w:pPr>
        <w:numPr>
          <w:ilvl w:val="0"/>
          <w:numId w:val="5"/>
        </w:numPr>
        <w:snapToGrid w:val="0"/>
        <w:spacing w:line="440" w:lineRule="exact"/>
        <w:ind w:left="0" w:firstLine="480"/>
        <w:rPr>
          <w:sz w:val="24"/>
        </w:rPr>
      </w:pPr>
      <w:r>
        <w:rPr>
          <w:rFonts w:hint="eastAsia"/>
          <w:sz w:val="24"/>
        </w:rPr>
        <w:t>被管理节点与管理服务器间的通信协议必须支持TCP/IP，并说明所使用的TCP/UDP端口号与应用层协议类型；</w:t>
      </w:r>
    </w:p>
    <w:p w14:paraId="320DFBB8">
      <w:pPr>
        <w:numPr>
          <w:ilvl w:val="0"/>
          <w:numId w:val="5"/>
        </w:numPr>
        <w:snapToGrid w:val="0"/>
        <w:spacing w:line="440" w:lineRule="exact"/>
        <w:ind w:firstLineChars="0"/>
        <w:rPr>
          <w:sz w:val="24"/>
        </w:rPr>
      </w:pPr>
      <w:r>
        <w:rPr>
          <w:rFonts w:hint="eastAsia"/>
          <w:sz w:val="24"/>
        </w:rPr>
        <w:t>必须同时支持对局域网节点及广域网节点的管理；</w:t>
      </w:r>
    </w:p>
    <w:p w14:paraId="2E1F391B">
      <w:pPr>
        <w:snapToGrid w:val="0"/>
        <w:spacing w:line="440" w:lineRule="exact"/>
        <w:rPr>
          <w:sz w:val="24"/>
        </w:rPr>
      </w:pPr>
      <w:r>
        <w:rPr>
          <w:rFonts w:hint="eastAsia"/>
          <w:sz w:val="24"/>
        </w:rPr>
        <w:t>（4）为实现集中统一的管理，被管理节点是否需要安装防病毒软件以外的管理软件（或者两者合并），如果需要，该软件的大小必须适当、安装方式必须简便（以节点用户不需要进行参数配置为限）、在安装过程中不能造成被安装节点操作者的其他桌面软件难以运行的影响、被管理节点与管理服务器的通信必须有安全机制；</w:t>
      </w:r>
    </w:p>
    <w:p w14:paraId="7F8EDF4F">
      <w:pPr>
        <w:snapToGrid w:val="0"/>
        <w:spacing w:line="440" w:lineRule="exact"/>
        <w:rPr>
          <w:sz w:val="24"/>
        </w:rPr>
      </w:pPr>
      <w:r>
        <w:rPr>
          <w:rFonts w:hint="eastAsia"/>
          <w:sz w:val="24"/>
        </w:rPr>
        <w:t>（5）防病毒软件自动分发（安装）的功能：</w:t>
      </w:r>
    </w:p>
    <w:p w14:paraId="32DE16CE">
      <w:pPr>
        <w:snapToGrid w:val="0"/>
        <w:spacing w:line="440" w:lineRule="exact"/>
        <w:rPr>
          <w:sz w:val="24"/>
        </w:rPr>
      </w:pPr>
      <w:r>
        <w:rPr>
          <w:rFonts w:hint="eastAsia"/>
          <w:sz w:val="24"/>
        </w:rPr>
        <w:t>可通过管理员控制台向所有网络邻居中的服务器和工作站进行远程安装，也可通过Web安装，安装时能够自动适应操作系统语言版本及操作系统版本以及网络环境，安装后不需要重新启动计算机；</w:t>
      </w:r>
    </w:p>
    <w:p w14:paraId="10569463">
      <w:pPr>
        <w:snapToGrid w:val="0"/>
        <w:spacing w:line="440" w:lineRule="exact"/>
        <w:rPr>
          <w:sz w:val="24"/>
        </w:rPr>
      </w:pPr>
      <w:r>
        <w:rPr>
          <w:rFonts w:hint="eastAsia"/>
          <w:sz w:val="24"/>
        </w:rPr>
        <w:t>（6）支持管理服务器的分组、分级管理；</w:t>
      </w:r>
    </w:p>
    <w:p w14:paraId="22BB2D84">
      <w:pPr>
        <w:snapToGrid w:val="0"/>
        <w:spacing w:line="440" w:lineRule="exact"/>
        <w:rPr>
          <w:sz w:val="24"/>
        </w:rPr>
      </w:pPr>
      <w:r>
        <w:rPr>
          <w:rFonts w:hint="eastAsia"/>
          <w:sz w:val="24"/>
        </w:rPr>
        <w:t>（7）节点防病毒软件运行参数的集中控制：</w:t>
      </w:r>
    </w:p>
    <w:p w14:paraId="7CD5564E">
      <w:pPr>
        <w:snapToGrid w:val="0"/>
        <w:spacing w:line="440" w:lineRule="exact"/>
        <w:rPr>
          <w:sz w:val="24"/>
        </w:rPr>
      </w:pPr>
      <w:r>
        <w:rPr>
          <w:rFonts w:hint="eastAsia"/>
          <w:sz w:val="24"/>
        </w:rPr>
        <w:t>强大、灵活的管理和任务调度手段，允许管理员通过中心控制台，集中地实现全网范围内防（杀）病毒策略的定制、分发和执行；</w:t>
      </w:r>
    </w:p>
    <w:p w14:paraId="7AB872BC">
      <w:pPr>
        <w:snapToGrid w:val="0"/>
        <w:spacing w:line="440" w:lineRule="exact"/>
        <w:rPr>
          <w:sz w:val="24"/>
        </w:rPr>
      </w:pPr>
      <w:r>
        <w:rPr>
          <w:rFonts w:hint="eastAsia"/>
          <w:sz w:val="24"/>
        </w:rPr>
        <w:t>允许管理员通过控制台，集中地实现所有节点上防毒软件的监控、配置、查询等管理工作；</w:t>
      </w:r>
    </w:p>
    <w:p w14:paraId="4FE3841A">
      <w:pPr>
        <w:snapToGrid w:val="0"/>
        <w:spacing w:line="440" w:lineRule="exact"/>
        <w:rPr>
          <w:sz w:val="24"/>
        </w:rPr>
      </w:pPr>
      <w:r>
        <w:rPr>
          <w:rFonts w:hint="eastAsia"/>
          <w:sz w:val="24"/>
        </w:rPr>
        <w:t>（8）节点防病毒软件各组件的升级：</w:t>
      </w:r>
    </w:p>
    <w:p w14:paraId="2F67A70E">
      <w:pPr>
        <w:snapToGrid w:val="0"/>
        <w:spacing w:line="440" w:lineRule="exact"/>
        <w:rPr>
          <w:sz w:val="24"/>
        </w:rPr>
      </w:pPr>
      <w:r>
        <w:rPr>
          <w:rFonts w:hint="eastAsia"/>
          <w:sz w:val="24"/>
        </w:rPr>
        <w:t>为避免因升级而造成频繁安装（或卸载）防病毒软件的管理工作量，防病毒软件必须采用模块式的软件结构，由主程序、扫描引擎、病毒定义码三个部分组成完整的防病毒软件；</w:t>
      </w:r>
    </w:p>
    <w:p w14:paraId="07C05AF3">
      <w:pPr>
        <w:snapToGrid w:val="0"/>
        <w:spacing w:line="440" w:lineRule="exact"/>
        <w:rPr>
          <w:sz w:val="24"/>
        </w:rPr>
      </w:pPr>
      <w:r>
        <w:rPr>
          <w:rFonts w:hint="eastAsia"/>
          <w:sz w:val="24"/>
        </w:rPr>
        <w:t>（9）病毒定义码的更新（或升级）</w:t>
      </w:r>
    </w:p>
    <w:p w14:paraId="3CE4EAE7">
      <w:pPr>
        <w:snapToGrid w:val="0"/>
        <w:spacing w:line="440" w:lineRule="exact"/>
        <w:rPr>
          <w:sz w:val="24"/>
        </w:rPr>
      </w:pPr>
      <w:r>
        <w:rPr>
          <w:rFonts w:hint="eastAsia"/>
          <w:sz w:val="24"/>
        </w:rPr>
        <w:t>厂商必须具备多种类型的病毒定义码升级文件供用户选择使用，具备完整版本（全量）的病毒定义码文件。</w:t>
      </w:r>
    </w:p>
    <w:p w14:paraId="36343C4B">
      <w:pPr>
        <w:snapToGrid w:val="0"/>
        <w:spacing w:line="440" w:lineRule="exact"/>
        <w:rPr>
          <w:sz w:val="24"/>
        </w:rPr>
      </w:pPr>
      <w:r>
        <w:rPr>
          <w:rFonts w:hint="eastAsia"/>
          <w:sz w:val="24"/>
        </w:rPr>
        <w:t>提供定时自动升级、手动升级、立即升级、智能增量升级等多种的软件升级方式。</w:t>
      </w:r>
    </w:p>
    <w:p w14:paraId="15ADF753">
      <w:pPr>
        <w:snapToGrid w:val="0"/>
        <w:spacing w:line="440" w:lineRule="exact"/>
        <w:rPr>
          <w:sz w:val="24"/>
        </w:rPr>
      </w:pPr>
      <w:r>
        <w:rPr>
          <w:rFonts w:hint="eastAsia"/>
          <w:sz w:val="24"/>
        </w:rPr>
        <w:t>（10）病毒码分发至各节点可实时进行。</w:t>
      </w:r>
    </w:p>
    <w:p w14:paraId="422ACA60">
      <w:pPr>
        <w:snapToGrid w:val="0"/>
        <w:spacing w:line="440" w:lineRule="exact"/>
        <w:rPr>
          <w:sz w:val="24"/>
        </w:rPr>
      </w:pPr>
      <w:r>
        <w:rPr>
          <w:rFonts w:hint="eastAsia"/>
          <w:sz w:val="24"/>
        </w:rPr>
        <w:t>（11）当扫描引擎升级时不需要重新安装整套防病毒软件。</w:t>
      </w:r>
    </w:p>
    <w:p w14:paraId="172D86F1">
      <w:pPr>
        <w:snapToGrid w:val="0"/>
        <w:spacing w:line="440" w:lineRule="exact"/>
        <w:rPr>
          <w:sz w:val="24"/>
        </w:rPr>
      </w:pPr>
      <w:r>
        <w:rPr>
          <w:rFonts w:hint="eastAsia"/>
          <w:sz w:val="24"/>
        </w:rPr>
        <w:t>（12）必须以自动的方式实现扫描引擎的升级，节点防病毒软件扫描引擎的升级源路径、升级频度必须在管理服务器上能够统一配置与控制。</w:t>
      </w:r>
    </w:p>
    <w:p w14:paraId="2E7E8163">
      <w:pPr>
        <w:snapToGrid w:val="0"/>
        <w:spacing w:line="440" w:lineRule="exact"/>
        <w:rPr>
          <w:sz w:val="24"/>
        </w:rPr>
      </w:pPr>
      <w:r>
        <w:rPr>
          <w:rFonts w:hint="eastAsia"/>
          <w:sz w:val="24"/>
        </w:rPr>
        <w:t>（13）扫描引擎分发至各节点可实时进行。</w:t>
      </w:r>
    </w:p>
    <w:p w14:paraId="0D87D753">
      <w:pPr>
        <w:snapToGrid w:val="0"/>
        <w:spacing w:line="440" w:lineRule="exact"/>
        <w:rPr>
          <w:sz w:val="24"/>
        </w:rPr>
      </w:pPr>
      <w:r>
        <w:rPr>
          <w:rFonts w:hint="eastAsia"/>
          <w:sz w:val="24"/>
        </w:rPr>
        <w:t>（14）必须以自动的方式实现节点防病毒软件的升级，而不是重新手工安装。</w:t>
      </w:r>
    </w:p>
    <w:p w14:paraId="51FD7805">
      <w:pPr>
        <w:snapToGrid w:val="0"/>
        <w:spacing w:line="440" w:lineRule="exact"/>
        <w:rPr>
          <w:sz w:val="24"/>
        </w:rPr>
      </w:pPr>
      <w:r>
        <w:rPr>
          <w:rFonts w:hint="eastAsia"/>
          <w:sz w:val="24"/>
        </w:rPr>
        <w:t>（15）支持集中的病毒报警和报告，即在管理服务器上能够方便查看全部范围（或组范围）的病毒报警和报告，包括感染节点的主机名、IP地址、病毒名称、清除情况、被感染文件的路径。</w:t>
      </w:r>
    </w:p>
    <w:p w14:paraId="39A808CB">
      <w:pPr>
        <w:snapToGrid w:val="0"/>
        <w:spacing w:line="440" w:lineRule="exact"/>
        <w:rPr>
          <w:sz w:val="24"/>
        </w:rPr>
      </w:pPr>
      <w:r>
        <w:rPr>
          <w:rFonts w:hint="eastAsia"/>
          <w:sz w:val="24"/>
        </w:rPr>
        <w:t>（16）桌面防病毒软件、服务器防病毒软件技术要求</w:t>
      </w:r>
    </w:p>
    <w:p w14:paraId="3235055E">
      <w:pPr>
        <w:snapToGrid w:val="0"/>
        <w:spacing w:line="440" w:lineRule="exact"/>
        <w:rPr>
          <w:sz w:val="24"/>
        </w:rPr>
      </w:pPr>
      <w:r>
        <w:rPr>
          <w:rFonts w:hint="eastAsia"/>
          <w:sz w:val="24"/>
        </w:rPr>
        <w:t>桌面防病毒软件、服务器防病毒软件指针对项目实际使用的软件版本的防病毒软件。</w:t>
      </w:r>
    </w:p>
    <w:p w14:paraId="6488FEDE">
      <w:pPr>
        <w:snapToGrid w:val="0"/>
        <w:spacing w:line="440" w:lineRule="exact"/>
        <w:rPr>
          <w:sz w:val="24"/>
        </w:rPr>
      </w:pPr>
      <w:r>
        <w:rPr>
          <w:rFonts w:hint="eastAsia"/>
          <w:sz w:val="24"/>
        </w:rPr>
        <w:t>（17）支持实时病毒检测，并能够配置实时检测的对象：</w:t>
      </w:r>
    </w:p>
    <w:p w14:paraId="25F26DB7">
      <w:pPr>
        <w:snapToGrid w:val="0"/>
        <w:spacing w:line="440" w:lineRule="exact"/>
        <w:rPr>
          <w:sz w:val="24"/>
        </w:rPr>
      </w:pPr>
      <w:r>
        <w:rPr>
          <w:rFonts w:hint="eastAsia"/>
          <w:sz w:val="24"/>
        </w:rPr>
        <w:t>对来自Internet、E-mail或是光盘、软盘、移动存储、网络等各种入口渠道的宏病毒、特洛伊木马、黑客程序和有害程序等全面进行实时监控；</w:t>
      </w:r>
    </w:p>
    <w:p w14:paraId="7751A4BA">
      <w:pPr>
        <w:snapToGrid w:val="0"/>
        <w:spacing w:line="440" w:lineRule="exact"/>
        <w:rPr>
          <w:sz w:val="24"/>
        </w:rPr>
      </w:pPr>
      <w:r>
        <w:rPr>
          <w:rFonts w:hint="eastAsia"/>
          <w:sz w:val="24"/>
        </w:rPr>
        <w:t>能够分别配置实时检测时是扫描所有内容（所有文件），还是指定扩展名类型的文件，当指定扫描所有文件时能够排除压缩文件；</w:t>
      </w:r>
    </w:p>
    <w:p w14:paraId="6F264FEF">
      <w:pPr>
        <w:snapToGrid w:val="0"/>
        <w:spacing w:line="440" w:lineRule="exact"/>
        <w:rPr>
          <w:sz w:val="24"/>
        </w:rPr>
      </w:pPr>
      <w:r>
        <w:rPr>
          <w:rFonts w:hint="eastAsia"/>
          <w:sz w:val="24"/>
        </w:rPr>
        <w:t>能够根据文件头识别扫描文件的确切文件类型。</w:t>
      </w:r>
    </w:p>
    <w:p w14:paraId="18F0DBE2">
      <w:pPr>
        <w:snapToGrid w:val="0"/>
        <w:spacing w:line="440" w:lineRule="exact"/>
        <w:rPr>
          <w:sz w:val="24"/>
        </w:rPr>
      </w:pPr>
      <w:r>
        <w:rPr>
          <w:rFonts w:hint="eastAsia"/>
          <w:sz w:val="24"/>
        </w:rPr>
        <w:t>（18）支持手动或定时的病毒检测。</w:t>
      </w:r>
    </w:p>
    <w:p w14:paraId="6F1C965D">
      <w:pPr>
        <w:snapToGrid w:val="0"/>
        <w:spacing w:line="440" w:lineRule="exact"/>
        <w:rPr>
          <w:sz w:val="24"/>
        </w:rPr>
      </w:pPr>
      <w:r>
        <w:rPr>
          <w:rFonts w:hint="eastAsia"/>
          <w:sz w:val="24"/>
        </w:rPr>
        <w:t>支持查杀Windows等系统的多种压缩格式的文件，并支持查杀多重压缩格式文件；</w:t>
      </w:r>
    </w:p>
    <w:p w14:paraId="3314B596">
      <w:pPr>
        <w:snapToGrid w:val="0"/>
        <w:spacing w:line="440" w:lineRule="exact"/>
        <w:rPr>
          <w:sz w:val="24"/>
        </w:rPr>
      </w:pPr>
      <w:r>
        <w:rPr>
          <w:rFonts w:hint="eastAsia"/>
          <w:sz w:val="24"/>
        </w:rPr>
        <w:t>（19）支持查杀含有未知恶意代码网页的能力；</w:t>
      </w:r>
    </w:p>
    <w:p w14:paraId="4F056E1E">
      <w:pPr>
        <w:snapToGrid w:val="0"/>
        <w:spacing w:line="440" w:lineRule="exact"/>
        <w:rPr>
          <w:sz w:val="24"/>
        </w:rPr>
      </w:pPr>
      <w:r>
        <w:rPr>
          <w:rFonts w:hint="eastAsia"/>
          <w:sz w:val="24"/>
        </w:rPr>
        <w:t>（20）支持查杀引导区的病毒；</w:t>
      </w:r>
    </w:p>
    <w:p w14:paraId="3D096D9F">
      <w:pPr>
        <w:snapToGrid w:val="0"/>
        <w:spacing w:line="440" w:lineRule="exact"/>
        <w:rPr>
          <w:sz w:val="24"/>
        </w:rPr>
      </w:pPr>
      <w:r>
        <w:rPr>
          <w:rFonts w:hint="eastAsia"/>
          <w:sz w:val="24"/>
        </w:rPr>
        <w:t>（21）支持全面监控注册表被恶意病毒所修改。</w:t>
      </w:r>
    </w:p>
    <w:p w14:paraId="6DAC9D99">
      <w:pPr>
        <w:snapToGrid w:val="0"/>
        <w:spacing w:line="440" w:lineRule="exact"/>
        <w:rPr>
          <w:sz w:val="24"/>
        </w:rPr>
      </w:pPr>
      <w:r>
        <w:rPr>
          <w:rFonts w:hint="eastAsia"/>
          <w:sz w:val="24"/>
        </w:rPr>
        <w:t>（22）支持漏洞攻击监控；</w:t>
      </w:r>
    </w:p>
    <w:p w14:paraId="6460B95D">
      <w:pPr>
        <w:snapToGrid w:val="0"/>
        <w:spacing w:line="440" w:lineRule="exact"/>
        <w:rPr>
          <w:sz w:val="24"/>
        </w:rPr>
      </w:pPr>
      <w:r>
        <w:rPr>
          <w:rFonts w:hint="eastAsia"/>
          <w:sz w:val="24"/>
        </w:rPr>
        <w:t>（23）支持对未知病毒的检测，并说明启用该功能是否存在误报。</w:t>
      </w:r>
    </w:p>
    <w:p w14:paraId="661B5203">
      <w:pPr>
        <w:snapToGrid w:val="0"/>
        <w:spacing w:line="440" w:lineRule="exact"/>
        <w:rPr>
          <w:sz w:val="24"/>
        </w:rPr>
      </w:pPr>
      <w:r>
        <w:rPr>
          <w:rFonts w:hint="eastAsia"/>
          <w:sz w:val="24"/>
        </w:rPr>
        <w:t>（24）各节点报警信息可实时传递到管理服务器上。</w:t>
      </w:r>
    </w:p>
    <w:p w14:paraId="3D02E2E8">
      <w:pPr>
        <w:snapToGrid w:val="0"/>
        <w:spacing w:line="440" w:lineRule="exact"/>
        <w:ind w:firstLine="0" w:firstLineChars="0"/>
        <w:jc w:val="both"/>
        <w:outlineLvl w:val="1"/>
        <w:rPr>
          <w:rFonts w:ascii="宋体" w:hAnsi="宋体" w:cs="宋体"/>
          <w:b/>
          <w:color w:val="000000"/>
          <w:sz w:val="24"/>
        </w:rPr>
      </w:pPr>
      <w:bookmarkStart w:id="32" w:name="_Toc169078727"/>
      <w:bookmarkStart w:id="33" w:name="_Toc526848518"/>
      <w:r>
        <w:rPr>
          <w:rFonts w:hint="eastAsia" w:ascii="宋体" w:hAnsi="宋体" w:cs="宋体"/>
          <w:b/>
          <w:color w:val="000000"/>
          <w:sz w:val="24"/>
        </w:rPr>
        <w:t>4.</w:t>
      </w:r>
      <w:r>
        <w:rPr>
          <w:rFonts w:ascii="宋体" w:hAnsi="宋体" w:cs="宋体"/>
          <w:b/>
          <w:color w:val="000000"/>
          <w:sz w:val="24"/>
        </w:rPr>
        <w:t xml:space="preserve">8 </w:t>
      </w:r>
      <w:r>
        <w:rPr>
          <w:rFonts w:hint="eastAsia" w:ascii="宋体" w:hAnsi="宋体" w:cs="宋体"/>
          <w:b/>
          <w:color w:val="000000"/>
          <w:sz w:val="24"/>
        </w:rPr>
        <w:t>入侵防御系统技术要求</w:t>
      </w:r>
      <w:bookmarkEnd w:id="32"/>
      <w:bookmarkEnd w:id="33"/>
    </w:p>
    <w:p w14:paraId="3E60ABED">
      <w:pPr>
        <w:numPr>
          <w:ilvl w:val="0"/>
          <w:numId w:val="6"/>
        </w:numPr>
        <w:snapToGrid w:val="0"/>
        <w:spacing w:line="440" w:lineRule="exact"/>
        <w:ind w:left="0" w:firstLine="480"/>
        <w:rPr>
          <w:sz w:val="24"/>
        </w:rPr>
      </w:pPr>
      <w:r>
        <w:rPr>
          <w:rFonts w:hint="eastAsia"/>
          <w:sz w:val="24"/>
        </w:rPr>
        <w:t>标准</w:t>
      </w:r>
      <w:r>
        <w:rPr>
          <w:sz w:val="24"/>
        </w:rPr>
        <w:t>1</w:t>
      </w:r>
      <w:r>
        <w:rPr>
          <w:rFonts w:hint="eastAsia"/>
          <w:sz w:val="24"/>
        </w:rPr>
        <w:t>U机架式</w:t>
      </w:r>
      <w:r>
        <w:rPr>
          <w:sz w:val="24"/>
        </w:rPr>
        <w:t>设备</w:t>
      </w:r>
      <w:r>
        <w:rPr>
          <w:rFonts w:hint="eastAsia"/>
          <w:sz w:val="24"/>
        </w:rPr>
        <w:t>。</w:t>
      </w:r>
      <w:r>
        <w:rPr>
          <w:sz w:val="24"/>
        </w:rPr>
        <w:t>采用专用硬件平台和安全操作系统，国产自主可控品牌</w:t>
      </w:r>
      <w:r>
        <w:rPr>
          <w:rFonts w:hint="eastAsia"/>
          <w:sz w:val="24"/>
        </w:rPr>
        <w:t>。</w:t>
      </w:r>
    </w:p>
    <w:p w14:paraId="5C29EA0E">
      <w:pPr>
        <w:numPr>
          <w:ilvl w:val="0"/>
          <w:numId w:val="6"/>
        </w:numPr>
        <w:snapToGrid w:val="0"/>
        <w:spacing w:line="440" w:lineRule="exact"/>
        <w:ind w:left="0" w:firstLine="480"/>
        <w:rPr>
          <w:sz w:val="24"/>
        </w:rPr>
      </w:pPr>
      <w:r>
        <w:rPr>
          <w:rFonts w:hint="eastAsia"/>
          <w:sz w:val="24"/>
        </w:rPr>
        <w:t>配置10/100/1000M自适应电口≥6个（其中1个管理口、5个业务接口）；1个扩展槽；设备自带液晶屏，可以显示设备IP地址、版本信息、内存剩余空间；单电源；吞吐量≥1000M。</w:t>
      </w:r>
    </w:p>
    <w:p w14:paraId="1A217268">
      <w:pPr>
        <w:numPr>
          <w:ilvl w:val="0"/>
          <w:numId w:val="6"/>
        </w:numPr>
        <w:snapToGrid w:val="0"/>
        <w:spacing w:line="440" w:lineRule="exact"/>
        <w:ind w:left="0" w:firstLine="480"/>
        <w:rPr>
          <w:sz w:val="24"/>
        </w:rPr>
      </w:pPr>
      <w:r>
        <w:rPr>
          <w:rFonts w:hint="eastAsia"/>
          <w:sz w:val="24"/>
        </w:rPr>
        <w:t>支持通过web方式调用设备命令行窗口功能，无需登录串口就可对设备进行命令行操作。</w:t>
      </w:r>
    </w:p>
    <w:p w14:paraId="5A39AA30">
      <w:pPr>
        <w:numPr>
          <w:ilvl w:val="0"/>
          <w:numId w:val="6"/>
        </w:numPr>
        <w:snapToGrid w:val="0"/>
        <w:spacing w:line="440" w:lineRule="exact"/>
        <w:ind w:left="0" w:firstLine="480"/>
        <w:rPr>
          <w:sz w:val="24"/>
        </w:rPr>
      </w:pPr>
      <w:r>
        <w:rPr>
          <w:rFonts w:hint="eastAsia"/>
          <w:sz w:val="24"/>
        </w:rPr>
        <w:t>内置安全事件规则库，不少于4000条，支持检测防护包括探测与扫描、溢出攻击、DDOS攻击、Sql注入、蠕虫、木马等各种网络威胁。</w:t>
      </w:r>
    </w:p>
    <w:p w14:paraId="5C4752A2">
      <w:pPr>
        <w:numPr>
          <w:ilvl w:val="0"/>
          <w:numId w:val="6"/>
        </w:numPr>
        <w:snapToGrid w:val="0"/>
        <w:spacing w:line="440" w:lineRule="exact"/>
        <w:ind w:left="0" w:firstLine="480"/>
        <w:rPr>
          <w:sz w:val="24"/>
        </w:rPr>
      </w:pPr>
      <w:r>
        <w:rPr>
          <w:rFonts w:hint="eastAsia"/>
          <w:sz w:val="24"/>
        </w:rPr>
        <w:t>内置IDS、AV、应用特征库，在此传统特征库基础之上，增加了木马库，webmail等特征库。</w:t>
      </w:r>
    </w:p>
    <w:p w14:paraId="6BB204A0">
      <w:pPr>
        <w:numPr>
          <w:ilvl w:val="0"/>
          <w:numId w:val="6"/>
        </w:numPr>
        <w:snapToGrid w:val="0"/>
        <w:spacing w:line="440" w:lineRule="exact"/>
        <w:ind w:left="0" w:firstLine="480"/>
        <w:rPr>
          <w:sz w:val="24"/>
        </w:rPr>
      </w:pPr>
      <w:r>
        <w:rPr>
          <w:rFonts w:hint="eastAsia"/>
          <w:sz w:val="24"/>
        </w:rPr>
        <w:t>支持基于安卓开发的多种社交软件和应用，如，微信、飞信、新浪微博、网易新闻、百度新闻等。</w:t>
      </w:r>
    </w:p>
    <w:p w14:paraId="66607CA1">
      <w:pPr>
        <w:numPr>
          <w:ilvl w:val="0"/>
          <w:numId w:val="6"/>
        </w:numPr>
        <w:snapToGrid w:val="0"/>
        <w:spacing w:line="440" w:lineRule="exact"/>
        <w:ind w:left="0" w:firstLine="480"/>
        <w:rPr>
          <w:sz w:val="24"/>
        </w:rPr>
      </w:pPr>
      <w:r>
        <w:rPr>
          <w:rFonts w:hint="eastAsia"/>
          <w:sz w:val="24"/>
        </w:rPr>
        <w:t>支持将攻击流量通过镜像口镜像出去，供第三方设备存储、分析、审计等。</w:t>
      </w:r>
    </w:p>
    <w:p w14:paraId="5F01C87B">
      <w:pPr>
        <w:numPr>
          <w:ilvl w:val="0"/>
          <w:numId w:val="6"/>
        </w:numPr>
        <w:snapToGrid w:val="0"/>
        <w:spacing w:line="440" w:lineRule="exact"/>
        <w:ind w:left="0" w:firstLine="480"/>
        <w:rPr>
          <w:sz w:val="24"/>
        </w:rPr>
      </w:pPr>
      <w:r>
        <w:rPr>
          <w:rFonts w:hint="eastAsia"/>
          <w:sz w:val="24"/>
        </w:rPr>
        <w:t>提供多种报表，可依据五元组、应用协议、时间点/时间段等元素自定义报表内容并显示。</w:t>
      </w:r>
    </w:p>
    <w:p w14:paraId="669F911E">
      <w:pPr>
        <w:numPr>
          <w:ilvl w:val="0"/>
          <w:numId w:val="6"/>
        </w:numPr>
        <w:snapToGrid w:val="0"/>
        <w:spacing w:line="440" w:lineRule="exact"/>
        <w:ind w:left="0" w:firstLine="480"/>
        <w:rPr>
          <w:sz w:val="24"/>
        </w:rPr>
      </w:pPr>
      <w:r>
        <w:rPr>
          <w:rFonts w:hint="eastAsia"/>
          <w:sz w:val="24"/>
        </w:rPr>
        <w:t>设备可以图形化展示应用风险指数、网络风险指数便于用户整体了解网络风险等级。</w:t>
      </w:r>
    </w:p>
    <w:p w14:paraId="0E22E913">
      <w:pPr>
        <w:numPr>
          <w:ilvl w:val="0"/>
          <w:numId w:val="6"/>
        </w:numPr>
        <w:snapToGrid w:val="0"/>
        <w:spacing w:line="440" w:lineRule="exact"/>
        <w:ind w:left="0" w:firstLine="480"/>
        <w:rPr>
          <w:sz w:val="24"/>
        </w:rPr>
      </w:pPr>
      <w:r>
        <w:rPr>
          <w:rFonts w:hint="eastAsia"/>
          <w:sz w:val="24"/>
        </w:rPr>
        <w:t>产品可以图形化显示设备接口面板信息，直观查看接口是否联线。</w:t>
      </w:r>
    </w:p>
    <w:p w14:paraId="7C0933C4">
      <w:pPr>
        <w:snapToGrid w:val="0"/>
        <w:spacing w:line="440" w:lineRule="exact"/>
        <w:ind w:firstLine="0" w:firstLineChars="0"/>
        <w:jc w:val="both"/>
        <w:outlineLvl w:val="1"/>
        <w:rPr>
          <w:rFonts w:ascii="宋体" w:hAnsi="宋体" w:cs="宋体"/>
          <w:b/>
          <w:color w:val="000000"/>
          <w:sz w:val="24"/>
        </w:rPr>
      </w:pPr>
      <w:bookmarkStart w:id="34" w:name="_Toc169078728"/>
      <w:bookmarkStart w:id="35" w:name="_Toc526848519"/>
      <w:r>
        <w:rPr>
          <w:rFonts w:hint="eastAsia" w:ascii="宋体" w:hAnsi="宋体" w:cs="宋体"/>
          <w:b/>
          <w:color w:val="000000"/>
          <w:sz w:val="24"/>
        </w:rPr>
        <w:t>4.</w:t>
      </w:r>
      <w:r>
        <w:rPr>
          <w:rFonts w:ascii="宋体" w:hAnsi="宋体" w:cs="宋体"/>
          <w:b/>
          <w:color w:val="000000"/>
          <w:sz w:val="24"/>
        </w:rPr>
        <w:t xml:space="preserve">9 </w:t>
      </w:r>
      <w:r>
        <w:rPr>
          <w:rFonts w:hint="eastAsia" w:ascii="宋体" w:hAnsi="宋体" w:cs="宋体"/>
          <w:b/>
          <w:color w:val="000000"/>
          <w:sz w:val="24"/>
        </w:rPr>
        <w:t>漏洞扫描系统技术要求</w:t>
      </w:r>
      <w:bookmarkEnd w:id="34"/>
      <w:bookmarkEnd w:id="35"/>
    </w:p>
    <w:p w14:paraId="6340507D">
      <w:pPr>
        <w:numPr>
          <w:ilvl w:val="0"/>
          <w:numId w:val="7"/>
        </w:numPr>
        <w:snapToGrid w:val="0"/>
        <w:spacing w:line="440" w:lineRule="exact"/>
        <w:ind w:left="0" w:firstLine="480"/>
        <w:rPr>
          <w:sz w:val="24"/>
        </w:rPr>
      </w:pPr>
      <w:r>
        <w:rPr>
          <w:rFonts w:hint="eastAsia"/>
          <w:sz w:val="24"/>
        </w:rPr>
        <w:t>采用1U专业机架式硬件设备，系统硬件采用全内置封闭式结构，产品稳定可靠性高。采用产品使用B/S架构，并采用SSL加密通信方式，用户可以通过浏览器远程方便的对产品进行管理。</w:t>
      </w:r>
    </w:p>
    <w:p w14:paraId="5793FBD5">
      <w:pPr>
        <w:numPr>
          <w:ilvl w:val="0"/>
          <w:numId w:val="7"/>
        </w:numPr>
        <w:snapToGrid w:val="0"/>
        <w:spacing w:line="440" w:lineRule="exact"/>
        <w:ind w:left="0" w:firstLine="480"/>
        <w:rPr>
          <w:sz w:val="24"/>
        </w:rPr>
      </w:pPr>
      <w:r>
        <w:rPr>
          <w:rFonts w:hint="eastAsia"/>
          <w:sz w:val="24"/>
        </w:rPr>
        <w:t>产品配置Web扫描域名无限制，Web扫描任务并发数为5个域名。系统扫描IP地址无限制，支持扫描A类、B类、C类地址，系统扫描支持50个IP地址并行扫描。标准1U机架式，标准配置≥6个10/100/1000M自适应电口，≥2个SFP插槽,2个USB口，1个Console口。</w:t>
      </w:r>
    </w:p>
    <w:p w14:paraId="65719C53">
      <w:pPr>
        <w:numPr>
          <w:ilvl w:val="0"/>
          <w:numId w:val="7"/>
        </w:numPr>
        <w:snapToGrid w:val="0"/>
        <w:spacing w:line="440" w:lineRule="exact"/>
        <w:ind w:left="0" w:firstLine="480"/>
        <w:rPr>
          <w:sz w:val="24"/>
        </w:rPr>
      </w:pPr>
      <w:r>
        <w:rPr>
          <w:rFonts w:hint="eastAsia"/>
          <w:sz w:val="24"/>
        </w:rPr>
        <w:t>产品属于旁路部署方式，不影响网络结构。支持分布式部署需支持自定义管理中心端口号、策略端口号、远端扫描引擎名称等信息，并提供远端扫描引擎列表，列表需对设备状态、策略同步、规则同步、引擎类型等状态提供最直观的展示效果。</w:t>
      </w:r>
    </w:p>
    <w:p w14:paraId="1B434F5F">
      <w:pPr>
        <w:numPr>
          <w:ilvl w:val="0"/>
          <w:numId w:val="7"/>
        </w:numPr>
        <w:snapToGrid w:val="0"/>
        <w:spacing w:line="440" w:lineRule="exact"/>
        <w:ind w:left="0" w:firstLine="480"/>
        <w:rPr>
          <w:sz w:val="24"/>
        </w:rPr>
      </w:pPr>
      <w:r>
        <w:rPr>
          <w:rFonts w:hint="eastAsia"/>
          <w:sz w:val="24"/>
        </w:rPr>
        <w:t>产品漏洞库列表数量必须大于15000条，提供详细的漏洞描述和对应的解决方案描述；漏洞知识库与CVE、CNCVE、CNNVD、CNVD、Bugtraq等主流标准兼容。</w:t>
      </w:r>
    </w:p>
    <w:p w14:paraId="5EA06A27">
      <w:pPr>
        <w:numPr>
          <w:ilvl w:val="0"/>
          <w:numId w:val="7"/>
        </w:numPr>
        <w:snapToGrid w:val="0"/>
        <w:spacing w:line="440" w:lineRule="exact"/>
        <w:ind w:left="0" w:firstLine="480"/>
        <w:rPr>
          <w:sz w:val="24"/>
        </w:rPr>
      </w:pPr>
      <w:r>
        <w:rPr>
          <w:rFonts w:hint="eastAsia"/>
          <w:sz w:val="24"/>
        </w:rPr>
        <w:t>产品应支持主流虚拟机管理系统的漏洞检查，支持Vmware ESX\Vmware ESXi等相关漏洞。</w:t>
      </w:r>
    </w:p>
    <w:p w14:paraId="62AFD701">
      <w:pPr>
        <w:numPr>
          <w:ilvl w:val="0"/>
          <w:numId w:val="7"/>
        </w:numPr>
        <w:snapToGrid w:val="0"/>
        <w:spacing w:line="440" w:lineRule="exact"/>
        <w:ind w:left="0" w:firstLine="480"/>
        <w:rPr>
          <w:sz w:val="24"/>
        </w:rPr>
      </w:pPr>
      <w:r>
        <w:rPr>
          <w:rFonts w:hint="eastAsia"/>
          <w:sz w:val="24"/>
        </w:rPr>
        <w:t>产品应支持对Web网站漏洞扫描的同时，查看网站漏洞情况和Web目录结构，数据进行实时同步呈现。</w:t>
      </w:r>
    </w:p>
    <w:p w14:paraId="0EFD9053">
      <w:pPr>
        <w:numPr>
          <w:ilvl w:val="0"/>
          <w:numId w:val="7"/>
        </w:numPr>
        <w:snapToGrid w:val="0"/>
        <w:spacing w:line="440" w:lineRule="exact"/>
        <w:ind w:left="0" w:firstLine="480"/>
        <w:rPr>
          <w:sz w:val="24"/>
        </w:rPr>
      </w:pPr>
      <w:r>
        <w:rPr>
          <w:rFonts w:hint="eastAsia"/>
          <w:sz w:val="24"/>
        </w:rPr>
        <w:t>产品应具备专用的口令破解字典，包括密码字典、用户名字典、组合字典等多种口令破解字典。</w:t>
      </w:r>
    </w:p>
    <w:p w14:paraId="485640AE">
      <w:pPr>
        <w:numPr>
          <w:ilvl w:val="0"/>
          <w:numId w:val="7"/>
        </w:numPr>
        <w:snapToGrid w:val="0"/>
        <w:spacing w:line="440" w:lineRule="exact"/>
        <w:ind w:left="0" w:firstLine="480"/>
        <w:rPr>
          <w:sz w:val="24"/>
        </w:rPr>
      </w:pPr>
      <w:r>
        <w:rPr>
          <w:rFonts w:hint="eastAsia"/>
          <w:sz w:val="24"/>
        </w:rPr>
        <w:t>口令破解利用SMB、TELNET、FTP、SSH、POP3、TOMCAT、SQL SERVER、MYSQL、ORACLE、SYBASE、DB2、SNMP等协议进行口令猜测（提供产品界面截图，并加盖原厂鲜章）。</w:t>
      </w:r>
    </w:p>
    <w:p w14:paraId="535C53A0">
      <w:pPr>
        <w:numPr>
          <w:ilvl w:val="0"/>
          <w:numId w:val="7"/>
        </w:numPr>
        <w:snapToGrid w:val="0"/>
        <w:spacing w:line="440" w:lineRule="exact"/>
        <w:ind w:left="0" w:firstLine="480"/>
        <w:rPr>
          <w:sz w:val="24"/>
        </w:rPr>
      </w:pPr>
      <w:r>
        <w:rPr>
          <w:rFonts w:hint="eastAsia"/>
          <w:sz w:val="24"/>
        </w:rPr>
        <w:t>产品应具备以漏洞为中心为查询对象，查询存在漏洞的相关资产，并可以查询深入的详细漏洞明细。</w:t>
      </w:r>
    </w:p>
    <w:p w14:paraId="29819456">
      <w:pPr>
        <w:numPr>
          <w:ilvl w:val="0"/>
          <w:numId w:val="7"/>
        </w:numPr>
        <w:snapToGrid w:val="0"/>
        <w:spacing w:line="440" w:lineRule="exact"/>
        <w:ind w:left="0" w:firstLine="480"/>
        <w:rPr>
          <w:sz w:val="24"/>
        </w:rPr>
      </w:pPr>
      <w:r>
        <w:rPr>
          <w:rFonts w:hint="eastAsia"/>
          <w:sz w:val="24"/>
        </w:rPr>
        <w:t>产品应具备漏洞对比机制，针对多次漏洞扫描情况进行对比，了解新增漏洞、减少漏洞的详细数据。</w:t>
      </w:r>
    </w:p>
    <w:p w14:paraId="320272D3">
      <w:pPr>
        <w:numPr>
          <w:ilvl w:val="0"/>
          <w:numId w:val="7"/>
        </w:numPr>
        <w:snapToGrid w:val="0"/>
        <w:spacing w:line="440" w:lineRule="exact"/>
        <w:ind w:left="0" w:firstLine="480"/>
        <w:rPr>
          <w:sz w:val="24"/>
        </w:rPr>
      </w:pPr>
      <w:r>
        <w:rPr>
          <w:rFonts w:hint="eastAsia"/>
          <w:sz w:val="24"/>
        </w:rPr>
        <w:t>产品需支持微软WSUS升级机制，提供微软WSUS账号、密码、地址、端口号的相关设置，并通过HTTPS进行链接。</w:t>
      </w:r>
    </w:p>
    <w:p w14:paraId="7C5D5141">
      <w:pPr>
        <w:numPr>
          <w:ilvl w:val="0"/>
          <w:numId w:val="7"/>
        </w:numPr>
        <w:snapToGrid w:val="0"/>
        <w:spacing w:line="440" w:lineRule="exact"/>
        <w:ind w:left="0" w:firstLine="480"/>
        <w:rPr>
          <w:sz w:val="24"/>
        </w:rPr>
      </w:pPr>
      <w:r>
        <w:rPr>
          <w:rFonts w:hint="eastAsia"/>
          <w:sz w:val="24"/>
        </w:rPr>
        <w:t>产品应提供漏洞验证工具，支持通用验证方式，提供GET、Post、Put、Delete等多种验证方式。</w:t>
      </w:r>
    </w:p>
    <w:p w14:paraId="0DE3CC09">
      <w:pPr>
        <w:snapToGrid w:val="0"/>
        <w:spacing w:line="440" w:lineRule="exact"/>
        <w:ind w:firstLine="0" w:firstLineChars="0"/>
        <w:jc w:val="both"/>
        <w:outlineLvl w:val="1"/>
        <w:rPr>
          <w:rFonts w:ascii="宋体" w:hAnsi="宋体" w:cs="宋体"/>
          <w:b/>
          <w:color w:val="000000"/>
          <w:sz w:val="24"/>
        </w:rPr>
      </w:pPr>
      <w:bookmarkStart w:id="36" w:name="_Toc526848520"/>
      <w:bookmarkStart w:id="37" w:name="_Toc169078729"/>
      <w:r>
        <w:rPr>
          <w:rFonts w:hint="eastAsia" w:ascii="宋体" w:hAnsi="宋体" w:cs="宋体"/>
          <w:b/>
          <w:color w:val="000000"/>
          <w:sz w:val="24"/>
        </w:rPr>
        <w:t>4.</w:t>
      </w:r>
      <w:r>
        <w:rPr>
          <w:rFonts w:ascii="宋体" w:hAnsi="宋体" w:cs="宋体"/>
          <w:b/>
          <w:color w:val="000000"/>
          <w:sz w:val="24"/>
        </w:rPr>
        <w:t xml:space="preserve">10 </w:t>
      </w:r>
      <w:r>
        <w:rPr>
          <w:rFonts w:hint="eastAsia" w:ascii="宋体" w:hAnsi="宋体" w:cs="宋体"/>
          <w:b/>
          <w:color w:val="000000"/>
          <w:sz w:val="24"/>
        </w:rPr>
        <w:t>网络安全监测</w:t>
      </w:r>
      <w:bookmarkEnd w:id="36"/>
      <w:r>
        <w:rPr>
          <w:rFonts w:hint="eastAsia" w:ascii="宋体" w:hAnsi="宋体" w:cs="宋体"/>
          <w:b/>
          <w:color w:val="000000"/>
          <w:sz w:val="24"/>
        </w:rPr>
        <w:t>装置</w:t>
      </w:r>
      <w:bookmarkEnd w:id="37"/>
    </w:p>
    <w:p w14:paraId="259AA719">
      <w:pPr>
        <w:snapToGrid w:val="0"/>
        <w:spacing w:line="440" w:lineRule="exact"/>
        <w:rPr>
          <w:sz w:val="24"/>
        </w:rPr>
      </w:pPr>
      <w:r>
        <w:rPr>
          <w:rFonts w:hint="eastAsia"/>
          <w:sz w:val="24"/>
        </w:rPr>
        <w:t>电力监控系统网络安全监测装置（Ⅱ型）主要硬件和性能指标如下：</w:t>
      </w:r>
    </w:p>
    <w:p w14:paraId="2AA3CCE9">
      <w:pPr>
        <w:numPr>
          <w:ilvl w:val="0"/>
          <w:numId w:val="8"/>
        </w:numPr>
        <w:snapToGrid w:val="0"/>
        <w:spacing w:line="440" w:lineRule="exact"/>
        <w:ind w:left="0" w:firstLine="480"/>
        <w:rPr>
          <w:sz w:val="24"/>
        </w:rPr>
      </w:pPr>
      <w:r>
        <w:rPr>
          <w:rFonts w:hint="eastAsia"/>
          <w:sz w:val="24"/>
        </w:rPr>
        <w:t>1U整层机箱，整机无旋转部件；</w:t>
      </w:r>
    </w:p>
    <w:p w14:paraId="2A6C512B">
      <w:pPr>
        <w:numPr>
          <w:ilvl w:val="0"/>
          <w:numId w:val="8"/>
        </w:numPr>
        <w:snapToGrid w:val="0"/>
        <w:spacing w:line="440" w:lineRule="exact"/>
        <w:ind w:left="0" w:firstLine="480"/>
        <w:rPr>
          <w:sz w:val="24"/>
        </w:rPr>
      </w:pPr>
      <w:r>
        <w:rPr>
          <w:rFonts w:hint="eastAsia"/>
          <w:sz w:val="24"/>
        </w:rPr>
        <w:t>CPU 4核不低于1.8GHz，内存不低于8GB；</w:t>
      </w:r>
    </w:p>
    <w:p w14:paraId="08F99B32">
      <w:pPr>
        <w:numPr>
          <w:ilvl w:val="0"/>
          <w:numId w:val="8"/>
        </w:numPr>
        <w:snapToGrid w:val="0"/>
        <w:spacing w:line="440" w:lineRule="exact"/>
        <w:ind w:left="0" w:firstLine="480"/>
        <w:rPr>
          <w:sz w:val="24"/>
        </w:rPr>
      </w:pPr>
      <w:r>
        <w:rPr>
          <w:rFonts w:hint="eastAsia"/>
          <w:sz w:val="24"/>
        </w:rPr>
        <w:t>硬盘容量不低于256GB；</w:t>
      </w:r>
    </w:p>
    <w:p w14:paraId="67D78C46">
      <w:pPr>
        <w:numPr>
          <w:ilvl w:val="0"/>
          <w:numId w:val="8"/>
        </w:numPr>
        <w:snapToGrid w:val="0"/>
        <w:spacing w:line="440" w:lineRule="exact"/>
        <w:ind w:left="0" w:firstLine="480"/>
        <w:rPr>
          <w:sz w:val="24"/>
        </w:rPr>
      </w:pPr>
      <w:r>
        <w:rPr>
          <w:rFonts w:hint="eastAsia"/>
          <w:sz w:val="24"/>
        </w:rPr>
        <w:t>8个自适应网口，1个B码对时接口；</w:t>
      </w:r>
    </w:p>
    <w:p w14:paraId="3732E5C8">
      <w:pPr>
        <w:numPr>
          <w:ilvl w:val="0"/>
          <w:numId w:val="8"/>
        </w:numPr>
        <w:snapToGrid w:val="0"/>
        <w:spacing w:line="440" w:lineRule="exact"/>
        <w:ind w:left="0" w:firstLine="480"/>
        <w:rPr>
          <w:sz w:val="24"/>
        </w:rPr>
      </w:pPr>
      <w:r>
        <w:rPr>
          <w:rFonts w:hint="eastAsia"/>
          <w:sz w:val="24"/>
        </w:rPr>
        <w:t>双路交直流电源独立供电；</w:t>
      </w:r>
    </w:p>
    <w:p w14:paraId="62F42D8E">
      <w:pPr>
        <w:numPr>
          <w:ilvl w:val="0"/>
          <w:numId w:val="8"/>
        </w:numPr>
        <w:snapToGrid w:val="0"/>
        <w:spacing w:line="440" w:lineRule="exact"/>
        <w:ind w:left="0" w:firstLine="480"/>
        <w:rPr>
          <w:sz w:val="24"/>
        </w:rPr>
      </w:pPr>
      <w:r>
        <w:rPr>
          <w:rFonts w:hint="eastAsia"/>
          <w:sz w:val="24"/>
        </w:rPr>
        <w:t>支持RedHat5、 RedHat6、Centos6、Centos5、Solaris 10、HP-UNIX B11、Windows7、 WindowsXP、Windows2003、Windows2008和WindowsVista等项目实际使用的操作系统采集agent；</w:t>
      </w:r>
    </w:p>
    <w:p w14:paraId="3C27AE54">
      <w:pPr>
        <w:numPr>
          <w:ilvl w:val="0"/>
          <w:numId w:val="8"/>
        </w:numPr>
        <w:snapToGrid w:val="0"/>
        <w:spacing w:line="440" w:lineRule="exact"/>
        <w:ind w:left="0" w:firstLine="480"/>
        <w:rPr>
          <w:sz w:val="24"/>
        </w:rPr>
      </w:pPr>
      <w:r>
        <w:rPr>
          <w:rFonts w:hint="eastAsia"/>
          <w:sz w:val="24"/>
        </w:rPr>
        <w:t>采集信息吞吐量≥600条/s；</w:t>
      </w:r>
    </w:p>
    <w:p w14:paraId="3A3F8EF7">
      <w:pPr>
        <w:numPr>
          <w:ilvl w:val="0"/>
          <w:numId w:val="8"/>
        </w:numPr>
        <w:snapToGrid w:val="0"/>
        <w:spacing w:line="440" w:lineRule="exact"/>
        <w:ind w:left="0" w:firstLine="480"/>
        <w:rPr>
          <w:sz w:val="24"/>
        </w:rPr>
      </w:pPr>
      <w:r>
        <w:rPr>
          <w:rFonts w:hint="eastAsia"/>
          <w:sz w:val="24"/>
        </w:rPr>
        <w:t>支持监测对象数量≥200；</w:t>
      </w:r>
    </w:p>
    <w:p w14:paraId="70A998E8">
      <w:pPr>
        <w:numPr>
          <w:ilvl w:val="0"/>
          <w:numId w:val="8"/>
        </w:numPr>
        <w:snapToGrid w:val="0"/>
        <w:spacing w:line="440" w:lineRule="exact"/>
        <w:ind w:left="0" w:firstLine="480"/>
        <w:rPr>
          <w:sz w:val="24"/>
        </w:rPr>
      </w:pPr>
      <w:r>
        <w:rPr>
          <w:rFonts w:hint="eastAsia"/>
          <w:sz w:val="24"/>
        </w:rPr>
        <w:t>对上传事件信息的处理时间≤0.6s，对远程调阅的处理时间≤2.5s；</w:t>
      </w:r>
    </w:p>
    <w:p w14:paraId="4E862075">
      <w:pPr>
        <w:numPr>
          <w:ilvl w:val="0"/>
          <w:numId w:val="8"/>
        </w:numPr>
        <w:snapToGrid w:val="0"/>
        <w:spacing w:line="440" w:lineRule="exact"/>
        <w:ind w:left="0" w:firstLine="480"/>
        <w:rPr>
          <w:sz w:val="24"/>
        </w:rPr>
      </w:pPr>
      <w:r>
        <w:rPr>
          <w:rFonts w:hint="eastAsia"/>
          <w:sz w:val="24"/>
        </w:rPr>
        <w:t>支持采集信息的本地存储，保存至少半年的采集信息；</w:t>
      </w:r>
    </w:p>
    <w:p w14:paraId="3D55FDD1">
      <w:pPr>
        <w:numPr>
          <w:ilvl w:val="0"/>
          <w:numId w:val="8"/>
        </w:numPr>
        <w:snapToGrid w:val="0"/>
        <w:spacing w:line="440" w:lineRule="exact"/>
        <w:ind w:left="0" w:firstLine="480"/>
        <w:rPr>
          <w:sz w:val="24"/>
        </w:rPr>
      </w:pPr>
      <w:r>
        <w:rPr>
          <w:rFonts w:hint="eastAsia"/>
          <w:sz w:val="24"/>
        </w:rPr>
        <w:t>支持上传事件信息的本地存储，保存至少一年的上传事件信息；</w:t>
      </w:r>
    </w:p>
    <w:p w14:paraId="5A11C389">
      <w:pPr>
        <w:numPr>
          <w:ilvl w:val="0"/>
          <w:numId w:val="8"/>
        </w:numPr>
        <w:snapToGrid w:val="0"/>
        <w:spacing w:line="440" w:lineRule="exact"/>
        <w:ind w:left="0" w:firstLine="480"/>
        <w:rPr>
          <w:sz w:val="24"/>
        </w:rPr>
      </w:pPr>
      <w:r>
        <w:rPr>
          <w:rFonts w:hint="eastAsia"/>
          <w:sz w:val="24"/>
        </w:rPr>
        <w:t>本地日志审计记录条数≥10000000条；</w:t>
      </w:r>
    </w:p>
    <w:p w14:paraId="55EEB45B">
      <w:pPr>
        <w:numPr>
          <w:ilvl w:val="0"/>
          <w:numId w:val="8"/>
        </w:numPr>
        <w:snapToGrid w:val="0"/>
        <w:spacing w:line="440" w:lineRule="exact"/>
        <w:ind w:left="0" w:firstLine="480"/>
        <w:rPr>
          <w:sz w:val="24"/>
        </w:rPr>
      </w:pPr>
      <w:r>
        <w:rPr>
          <w:rFonts w:hint="eastAsia"/>
          <w:sz w:val="24"/>
        </w:rPr>
        <w:t>通过IRIG-B同步，对时精度≤1ms，通过SNTP同步，对时精度≤100ms；</w:t>
      </w:r>
    </w:p>
    <w:p w14:paraId="4C2BC1C0">
      <w:pPr>
        <w:numPr>
          <w:ilvl w:val="0"/>
          <w:numId w:val="8"/>
        </w:numPr>
        <w:snapToGrid w:val="0"/>
        <w:spacing w:line="440" w:lineRule="exact"/>
        <w:ind w:left="0" w:firstLine="480"/>
        <w:rPr>
          <w:sz w:val="24"/>
        </w:rPr>
      </w:pPr>
      <w:r>
        <w:rPr>
          <w:rFonts w:hint="eastAsia"/>
          <w:sz w:val="24"/>
        </w:rPr>
        <w:t>在没有外部时钟源校正时，24小时守时误差应不超过1s；</w:t>
      </w:r>
    </w:p>
    <w:p w14:paraId="1D0FCE60">
      <w:pPr>
        <w:numPr>
          <w:ilvl w:val="0"/>
          <w:numId w:val="8"/>
        </w:numPr>
        <w:snapToGrid w:val="0"/>
        <w:spacing w:line="440" w:lineRule="exact"/>
        <w:ind w:left="0" w:firstLine="480"/>
        <w:rPr>
          <w:sz w:val="24"/>
        </w:rPr>
      </w:pPr>
      <w:r>
        <w:rPr>
          <w:rFonts w:hint="eastAsia"/>
          <w:sz w:val="24"/>
        </w:rPr>
        <w:t>平均故障间隔时间（MTBF）≥30000h；</w:t>
      </w:r>
    </w:p>
    <w:p w14:paraId="6FF52BAE">
      <w:pPr>
        <w:numPr>
          <w:ilvl w:val="0"/>
          <w:numId w:val="8"/>
        </w:numPr>
        <w:snapToGrid w:val="0"/>
        <w:spacing w:line="440" w:lineRule="exact"/>
        <w:ind w:left="0" w:firstLine="480"/>
        <w:rPr>
          <w:sz w:val="24"/>
        </w:rPr>
      </w:pPr>
      <w:r>
        <w:rPr>
          <w:rFonts w:hint="eastAsia"/>
          <w:sz w:val="24"/>
        </w:rPr>
        <w:t>流量分析功能对小包解析速率≥18000pps。</w:t>
      </w:r>
    </w:p>
    <w:p w14:paraId="5914CEAE">
      <w:pPr>
        <w:snapToGrid w:val="0"/>
        <w:spacing w:line="440" w:lineRule="exact"/>
        <w:rPr>
          <w:sz w:val="24"/>
        </w:rPr>
      </w:pPr>
      <w:r>
        <w:rPr>
          <w:rFonts w:hint="eastAsia"/>
          <w:sz w:val="24"/>
        </w:rPr>
        <w:t>1、厂站生产控制大区的涉网站控层主机设备、网络设备和安全防护设备，均需接入网络安全监测装置。</w:t>
      </w:r>
    </w:p>
    <w:p w14:paraId="674E9F52">
      <w:pPr>
        <w:snapToGrid w:val="0"/>
        <w:spacing w:line="440" w:lineRule="exact"/>
        <w:rPr>
          <w:sz w:val="24"/>
        </w:rPr>
      </w:pPr>
      <w:r>
        <w:rPr>
          <w:rFonts w:hint="eastAsia"/>
          <w:sz w:val="24"/>
        </w:rPr>
        <w:t>2、涉网站控层各类设备相应要求如下：</w:t>
      </w:r>
    </w:p>
    <w:p w14:paraId="3BC19866">
      <w:pPr>
        <w:pStyle w:val="28"/>
        <w:numPr>
          <w:ilvl w:val="0"/>
          <w:numId w:val="9"/>
        </w:numPr>
        <w:snapToGrid w:val="0"/>
        <w:spacing w:line="440" w:lineRule="exact"/>
        <w:ind w:firstLineChars="0"/>
        <w:rPr>
          <w:rFonts w:ascii="Times New Roman" w:hAnsi="Times New Roman"/>
          <w:sz w:val="24"/>
          <w:szCs w:val="24"/>
        </w:rPr>
      </w:pPr>
      <w:r>
        <w:rPr>
          <w:rFonts w:hint="eastAsia" w:ascii="Times New Roman" w:hAnsi="Times New Roman"/>
          <w:sz w:val="24"/>
          <w:szCs w:val="24"/>
        </w:rPr>
        <w:t>主机设备：凡满足AGENT技术条件的主机设备，必须接入监测装置。</w:t>
      </w:r>
    </w:p>
    <w:p w14:paraId="4CAC6186">
      <w:pPr>
        <w:pStyle w:val="28"/>
        <w:numPr>
          <w:ilvl w:val="0"/>
          <w:numId w:val="9"/>
        </w:numPr>
        <w:snapToGrid w:val="0"/>
        <w:spacing w:line="440" w:lineRule="exact"/>
        <w:ind w:left="0" w:firstLine="480"/>
        <w:rPr>
          <w:rFonts w:ascii="Times New Roman" w:hAnsi="Times New Roman"/>
          <w:sz w:val="24"/>
          <w:szCs w:val="24"/>
        </w:rPr>
      </w:pPr>
      <w:r>
        <w:rPr>
          <w:rFonts w:hint="eastAsia" w:ascii="Times New Roman" w:hAnsi="Times New Roman"/>
          <w:sz w:val="24"/>
          <w:szCs w:val="24"/>
        </w:rPr>
        <w:t>网络设备：所涉网络设备仅限站控层交换机。设备需要满足SNMP V2c或V3协议，如果不满足，则需要进行版本升级或更换。对于满足SNMP V2c或V3协议的网络设备但不能完全满足《电力监控系统网络安全监测装置技术规范》（详见内电运[2019]68号附件）时，需由网络设备厂商进行私有MIB的开发；</w:t>
      </w:r>
    </w:p>
    <w:p w14:paraId="6313BE73">
      <w:pPr>
        <w:pStyle w:val="28"/>
        <w:numPr>
          <w:ilvl w:val="0"/>
          <w:numId w:val="9"/>
        </w:numPr>
        <w:snapToGrid w:val="0"/>
        <w:spacing w:line="440" w:lineRule="exact"/>
        <w:ind w:left="0" w:firstLine="480"/>
        <w:rPr>
          <w:rFonts w:ascii="Times New Roman" w:hAnsi="Times New Roman"/>
          <w:sz w:val="24"/>
          <w:szCs w:val="24"/>
        </w:rPr>
      </w:pPr>
      <w:r>
        <w:rPr>
          <w:rFonts w:hint="eastAsia" w:ascii="Times New Roman" w:hAnsi="Times New Roman"/>
          <w:sz w:val="24"/>
          <w:szCs w:val="24"/>
        </w:rPr>
        <w:t>安全防护设备：设备日志应遵循《电力监控系统网络安全监测装置技术规范》，如遇安全防护设备自身日志协议程序版本过于老旧，需要统一由安全防护设备厂商提供满足《电力监控系统网络安全监测装置技术规范》安全防护设备的日志规范的插件。</w:t>
      </w:r>
    </w:p>
    <w:p w14:paraId="52260F1C">
      <w:pPr>
        <w:snapToGrid w:val="0"/>
        <w:spacing w:line="440" w:lineRule="exact"/>
        <w:rPr>
          <w:sz w:val="24"/>
        </w:rPr>
      </w:pPr>
      <w:r>
        <w:rPr>
          <w:rFonts w:hint="eastAsia"/>
          <w:sz w:val="24"/>
        </w:rPr>
        <w:t>3、应利用监测装置的本地图形化管理UI界面（现场监视功能），实现厂站内部网络安全的就地监视。</w:t>
      </w:r>
    </w:p>
    <w:p w14:paraId="75FAAC60">
      <w:pPr>
        <w:snapToGrid w:val="0"/>
        <w:spacing w:line="440" w:lineRule="exact"/>
        <w:rPr>
          <w:sz w:val="24"/>
        </w:rPr>
      </w:pPr>
      <w:r>
        <w:rPr>
          <w:rFonts w:hint="eastAsia"/>
          <w:sz w:val="24"/>
        </w:rPr>
        <w:t>4、应将涉网区域的主机设备、网络设备及安全防护设备接入并转发调控机构主站平台，设备定义即所有与调度数据网有直接或间接网络连接的设备；并网电厂宜将厂站内可接入的主机设备、网络设备及安全防护设备均纳入监视范围，实现全厂就地监视。</w:t>
      </w:r>
    </w:p>
    <w:p w14:paraId="75F11BF0">
      <w:pPr>
        <w:snapToGrid w:val="0"/>
        <w:spacing w:line="440" w:lineRule="exact"/>
        <w:rPr>
          <w:sz w:val="24"/>
        </w:rPr>
      </w:pPr>
      <w:r>
        <w:rPr>
          <w:rFonts w:hint="eastAsia"/>
          <w:sz w:val="24"/>
        </w:rPr>
        <w:t>5、监控系统接入网络安全监测装置主要包括：电站运行监控系统、自动发电控制功能AGC、自动电压控制功能AVC、相量测量装置PMU、五防系统、继电保护、故障录波、功率预测系统、电能量采集装置、管理信息系统MIS、气象信息系统、检修管理系统系统等。其中，自动发电控制功能AGC、自动电压控制功能AVC、电站运行监控系统、相量测量装置PMU、继电保护、故障录波、光功率预测系统，电能量采集装置属于涉网系统，应纳入监测范围并将告警信息上传至相关调控机构平台。其余系统可接入装置实现电厂内部网络安全的就地监视。</w:t>
      </w:r>
    </w:p>
    <w:p w14:paraId="4D6BDA9B">
      <w:pPr>
        <w:snapToGrid w:val="0"/>
        <w:spacing w:line="440" w:lineRule="exact"/>
        <w:rPr>
          <w:sz w:val="24"/>
        </w:rPr>
      </w:pPr>
      <w:r>
        <w:rPr>
          <w:rFonts w:hint="eastAsia"/>
          <w:sz w:val="24"/>
        </w:rPr>
        <w:t>电站典型监测对象如表1：</w:t>
      </w:r>
    </w:p>
    <w:p w14:paraId="610BE965">
      <w:pPr>
        <w:pStyle w:val="28"/>
        <w:snapToGrid w:val="0"/>
        <w:spacing w:line="440" w:lineRule="exact"/>
        <w:ind w:firstLine="0" w:firstLineChars="0"/>
        <w:jc w:val="center"/>
        <w:rPr>
          <w:rFonts w:ascii="Times New Roman" w:hAnsi="Times New Roman"/>
          <w:sz w:val="24"/>
          <w:szCs w:val="24"/>
        </w:rPr>
      </w:pPr>
      <w:r>
        <w:rPr>
          <w:rFonts w:hint="eastAsia" w:ascii="Times New Roman" w:hAnsi="Times New Roman"/>
          <w:sz w:val="24"/>
          <w:szCs w:val="24"/>
        </w:rPr>
        <w:t>表1电站典型监测对象表</w:t>
      </w:r>
    </w:p>
    <w:tbl>
      <w:tblPr>
        <w:tblStyle w:val="15"/>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2977"/>
        <w:gridCol w:w="2409"/>
      </w:tblGrid>
      <w:tr w14:paraId="295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2BC0DF33">
            <w:pPr>
              <w:snapToGrid w:val="0"/>
              <w:spacing w:line="440" w:lineRule="exact"/>
              <w:jc w:val="center"/>
              <w:rPr>
                <w:sz w:val="24"/>
              </w:rPr>
            </w:pPr>
            <w:r>
              <w:rPr>
                <w:rFonts w:hint="eastAsia"/>
                <w:sz w:val="24"/>
              </w:rPr>
              <w:t>对象名称</w:t>
            </w:r>
          </w:p>
        </w:tc>
        <w:tc>
          <w:tcPr>
            <w:tcW w:w="2977" w:type="dxa"/>
            <w:vAlign w:val="center"/>
          </w:tcPr>
          <w:p w14:paraId="272EF1C4">
            <w:pPr>
              <w:snapToGrid w:val="0"/>
              <w:spacing w:line="440" w:lineRule="exact"/>
              <w:ind w:firstLine="0" w:firstLineChars="0"/>
              <w:jc w:val="center"/>
              <w:rPr>
                <w:sz w:val="24"/>
              </w:rPr>
            </w:pPr>
            <w:r>
              <w:rPr>
                <w:rFonts w:hint="eastAsia"/>
                <w:sz w:val="24"/>
              </w:rPr>
              <w:t>设备类型</w:t>
            </w:r>
          </w:p>
        </w:tc>
        <w:tc>
          <w:tcPr>
            <w:tcW w:w="2409" w:type="dxa"/>
            <w:vAlign w:val="center"/>
          </w:tcPr>
          <w:p w14:paraId="1C32D528">
            <w:pPr>
              <w:snapToGrid w:val="0"/>
              <w:spacing w:line="440" w:lineRule="exact"/>
              <w:jc w:val="center"/>
              <w:rPr>
                <w:sz w:val="24"/>
              </w:rPr>
            </w:pPr>
            <w:r>
              <w:rPr>
                <w:rFonts w:hint="eastAsia"/>
                <w:sz w:val="24"/>
              </w:rPr>
              <w:t>备注</w:t>
            </w:r>
          </w:p>
        </w:tc>
      </w:tr>
      <w:tr w14:paraId="7B2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5E4A7E9D">
            <w:pPr>
              <w:snapToGrid w:val="0"/>
              <w:spacing w:line="440" w:lineRule="exact"/>
              <w:ind w:firstLine="0" w:firstLineChars="0"/>
              <w:rPr>
                <w:sz w:val="24"/>
              </w:rPr>
            </w:pPr>
            <w:r>
              <w:rPr>
                <w:rFonts w:hint="eastAsia"/>
                <w:sz w:val="24"/>
              </w:rPr>
              <w:t>自动发电控制功能</w:t>
            </w:r>
            <w:r>
              <w:rPr>
                <w:sz w:val="24"/>
              </w:rPr>
              <w:t>AGC</w:t>
            </w:r>
          </w:p>
        </w:tc>
        <w:tc>
          <w:tcPr>
            <w:tcW w:w="2977" w:type="dxa"/>
            <w:vAlign w:val="center"/>
          </w:tcPr>
          <w:p w14:paraId="28ED9F3B">
            <w:pPr>
              <w:snapToGrid w:val="0"/>
              <w:spacing w:line="440" w:lineRule="exact"/>
              <w:ind w:firstLine="0" w:firstLineChars="0"/>
              <w:rPr>
                <w:sz w:val="24"/>
              </w:rPr>
            </w:pPr>
            <w:r>
              <w:rPr>
                <w:rFonts w:hint="eastAsia"/>
                <w:sz w:val="24"/>
              </w:rPr>
              <w:t>主机设备、网络设备</w:t>
            </w:r>
          </w:p>
        </w:tc>
        <w:tc>
          <w:tcPr>
            <w:tcW w:w="2409" w:type="dxa"/>
            <w:vAlign w:val="center"/>
          </w:tcPr>
          <w:p w14:paraId="2B0D115D">
            <w:pPr>
              <w:snapToGrid w:val="0"/>
              <w:spacing w:line="440" w:lineRule="exact"/>
              <w:rPr>
                <w:sz w:val="24"/>
              </w:rPr>
            </w:pPr>
          </w:p>
        </w:tc>
      </w:tr>
      <w:tr w14:paraId="3C92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19257E37">
            <w:pPr>
              <w:snapToGrid w:val="0"/>
              <w:spacing w:line="440" w:lineRule="exact"/>
              <w:ind w:firstLine="0" w:firstLineChars="0"/>
              <w:rPr>
                <w:sz w:val="24"/>
              </w:rPr>
            </w:pPr>
            <w:r>
              <w:rPr>
                <w:rFonts w:hint="eastAsia"/>
                <w:sz w:val="24"/>
              </w:rPr>
              <w:t>自动电压控制功能</w:t>
            </w:r>
            <w:r>
              <w:rPr>
                <w:sz w:val="24"/>
              </w:rPr>
              <w:t>AVC</w:t>
            </w:r>
          </w:p>
        </w:tc>
        <w:tc>
          <w:tcPr>
            <w:tcW w:w="2977" w:type="dxa"/>
            <w:vAlign w:val="center"/>
          </w:tcPr>
          <w:p w14:paraId="14CA0CA5">
            <w:pPr>
              <w:snapToGrid w:val="0"/>
              <w:spacing w:line="440" w:lineRule="exact"/>
              <w:ind w:firstLine="0" w:firstLineChars="0"/>
              <w:rPr>
                <w:sz w:val="24"/>
              </w:rPr>
            </w:pPr>
            <w:r>
              <w:rPr>
                <w:rFonts w:hint="eastAsia"/>
                <w:sz w:val="24"/>
              </w:rPr>
              <w:t>主机设备、网络设备</w:t>
            </w:r>
          </w:p>
        </w:tc>
        <w:tc>
          <w:tcPr>
            <w:tcW w:w="2409" w:type="dxa"/>
            <w:vAlign w:val="center"/>
          </w:tcPr>
          <w:p w14:paraId="5DB9E1F2">
            <w:pPr>
              <w:snapToGrid w:val="0"/>
              <w:spacing w:line="440" w:lineRule="exact"/>
              <w:rPr>
                <w:sz w:val="24"/>
              </w:rPr>
            </w:pPr>
          </w:p>
        </w:tc>
      </w:tr>
      <w:tr w14:paraId="1BF8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83" w:type="dxa"/>
            <w:vAlign w:val="center"/>
          </w:tcPr>
          <w:p w14:paraId="7C967690">
            <w:pPr>
              <w:snapToGrid w:val="0"/>
              <w:spacing w:line="440" w:lineRule="exact"/>
              <w:ind w:firstLine="0" w:firstLineChars="0"/>
              <w:rPr>
                <w:sz w:val="24"/>
              </w:rPr>
            </w:pPr>
            <w:r>
              <w:rPr>
                <w:rFonts w:hint="eastAsia"/>
                <w:sz w:val="24"/>
              </w:rPr>
              <w:t>风电场/光伏场运行监控系统</w:t>
            </w:r>
          </w:p>
        </w:tc>
        <w:tc>
          <w:tcPr>
            <w:tcW w:w="2977" w:type="dxa"/>
            <w:vAlign w:val="center"/>
          </w:tcPr>
          <w:p w14:paraId="733E80B7">
            <w:pPr>
              <w:snapToGrid w:val="0"/>
              <w:spacing w:line="440" w:lineRule="exact"/>
              <w:ind w:firstLine="0" w:firstLineChars="0"/>
              <w:rPr>
                <w:sz w:val="24"/>
              </w:rPr>
            </w:pPr>
            <w:r>
              <w:rPr>
                <w:rFonts w:hint="eastAsia"/>
                <w:sz w:val="24"/>
              </w:rPr>
              <w:t>主机设备、网络设备、安全防护设备</w:t>
            </w:r>
          </w:p>
        </w:tc>
        <w:tc>
          <w:tcPr>
            <w:tcW w:w="2409" w:type="dxa"/>
            <w:vAlign w:val="center"/>
          </w:tcPr>
          <w:p w14:paraId="50EF9C82">
            <w:pPr>
              <w:snapToGrid w:val="0"/>
              <w:spacing w:line="440" w:lineRule="exact"/>
              <w:rPr>
                <w:sz w:val="24"/>
              </w:rPr>
            </w:pPr>
          </w:p>
        </w:tc>
      </w:tr>
      <w:tr w14:paraId="7D52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112F37B9">
            <w:pPr>
              <w:snapToGrid w:val="0"/>
              <w:spacing w:line="440" w:lineRule="exact"/>
              <w:ind w:firstLine="0" w:firstLineChars="0"/>
              <w:rPr>
                <w:sz w:val="24"/>
              </w:rPr>
            </w:pPr>
            <w:r>
              <w:rPr>
                <w:rFonts w:hint="eastAsia"/>
                <w:sz w:val="24"/>
              </w:rPr>
              <w:t>相量测量装置</w:t>
            </w:r>
            <w:r>
              <w:rPr>
                <w:sz w:val="24"/>
              </w:rPr>
              <w:t>PMU</w:t>
            </w:r>
          </w:p>
        </w:tc>
        <w:tc>
          <w:tcPr>
            <w:tcW w:w="2977" w:type="dxa"/>
            <w:vAlign w:val="center"/>
          </w:tcPr>
          <w:p w14:paraId="28B5CBE7">
            <w:pPr>
              <w:snapToGrid w:val="0"/>
              <w:spacing w:line="440" w:lineRule="exact"/>
              <w:ind w:firstLine="0" w:firstLineChars="0"/>
              <w:rPr>
                <w:sz w:val="24"/>
              </w:rPr>
            </w:pPr>
            <w:r>
              <w:rPr>
                <w:rFonts w:hint="eastAsia"/>
                <w:sz w:val="24"/>
              </w:rPr>
              <w:t>主机设备、网络设备</w:t>
            </w:r>
          </w:p>
        </w:tc>
        <w:tc>
          <w:tcPr>
            <w:tcW w:w="2409" w:type="dxa"/>
            <w:vAlign w:val="center"/>
          </w:tcPr>
          <w:p w14:paraId="390769B0">
            <w:pPr>
              <w:snapToGrid w:val="0"/>
              <w:spacing w:line="440" w:lineRule="exact"/>
              <w:ind w:firstLine="0" w:firstLineChars="0"/>
              <w:rPr>
                <w:sz w:val="24"/>
              </w:rPr>
            </w:pPr>
            <w:r>
              <w:rPr>
                <w:rFonts w:hint="eastAsia"/>
                <w:sz w:val="24"/>
              </w:rPr>
              <w:t>包含装置类设备</w:t>
            </w:r>
          </w:p>
        </w:tc>
      </w:tr>
      <w:tr w14:paraId="7474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73930FDF">
            <w:pPr>
              <w:snapToGrid w:val="0"/>
              <w:spacing w:line="440" w:lineRule="exact"/>
              <w:ind w:firstLine="0" w:firstLineChars="0"/>
              <w:rPr>
                <w:sz w:val="24"/>
              </w:rPr>
            </w:pPr>
            <w:r>
              <w:rPr>
                <w:rFonts w:hint="eastAsia"/>
                <w:sz w:val="24"/>
              </w:rPr>
              <w:t>继电保护</w:t>
            </w:r>
          </w:p>
        </w:tc>
        <w:tc>
          <w:tcPr>
            <w:tcW w:w="2977" w:type="dxa"/>
            <w:vAlign w:val="center"/>
          </w:tcPr>
          <w:p w14:paraId="6C6C05B8">
            <w:pPr>
              <w:snapToGrid w:val="0"/>
              <w:spacing w:line="440" w:lineRule="exact"/>
              <w:ind w:firstLine="0" w:firstLineChars="0"/>
              <w:rPr>
                <w:sz w:val="24"/>
              </w:rPr>
            </w:pPr>
            <w:r>
              <w:rPr>
                <w:rFonts w:hint="eastAsia"/>
                <w:sz w:val="24"/>
              </w:rPr>
              <w:t>主机设备、网络设备</w:t>
            </w:r>
          </w:p>
        </w:tc>
        <w:tc>
          <w:tcPr>
            <w:tcW w:w="2409" w:type="dxa"/>
            <w:vAlign w:val="center"/>
          </w:tcPr>
          <w:p w14:paraId="2D296F3A">
            <w:pPr>
              <w:snapToGrid w:val="0"/>
              <w:spacing w:line="440" w:lineRule="exact"/>
              <w:rPr>
                <w:sz w:val="24"/>
              </w:rPr>
            </w:pPr>
          </w:p>
        </w:tc>
      </w:tr>
      <w:tr w14:paraId="3D93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7ED5E60A">
            <w:pPr>
              <w:snapToGrid w:val="0"/>
              <w:spacing w:line="440" w:lineRule="exact"/>
              <w:ind w:firstLine="0" w:firstLineChars="0"/>
              <w:rPr>
                <w:sz w:val="24"/>
              </w:rPr>
            </w:pPr>
            <w:r>
              <w:rPr>
                <w:rFonts w:hint="eastAsia"/>
                <w:sz w:val="24"/>
              </w:rPr>
              <w:t>故障录波</w:t>
            </w:r>
          </w:p>
        </w:tc>
        <w:tc>
          <w:tcPr>
            <w:tcW w:w="2977" w:type="dxa"/>
            <w:vAlign w:val="center"/>
          </w:tcPr>
          <w:p w14:paraId="625D51F5">
            <w:pPr>
              <w:snapToGrid w:val="0"/>
              <w:spacing w:line="440" w:lineRule="exact"/>
              <w:ind w:firstLine="0" w:firstLineChars="0"/>
              <w:rPr>
                <w:sz w:val="24"/>
              </w:rPr>
            </w:pPr>
            <w:r>
              <w:rPr>
                <w:rFonts w:hint="eastAsia"/>
                <w:sz w:val="24"/>
              </w:rPr>
              <w:t>主机设备、网络设备</w:t>
            </w:r>
          </w:p>
        </w:tc>
        <w:tc>
          <w:tcPr>
            <w:tcW w:w="2409" w:type="dxa"/>
            <w:vAlign w:val="center"/>
          </w:tcPr>
          <w:p w14:paraId="556AAD48">
            <w:pPr>
              <w:snapToGrid w:val="0"/>
              <w:spacing w:line="440" w:lineRule="exact"/>
              <w:rPr>
                <w:sz w:val="24"/>
              </w:rPr>
            </w:pPr>
          </w:p>
        </w:tc>
      </w:tr>
      <w:tr w14:paraId="201F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7B4F9987">
            <w:pPr>
              <w:snapToGrid w:val="0"/>
              <w:spacing w:line="440" w:lineRule="exact"/>
              <w:ind w:firstLine="0" w:firstLineChars="0"/>
              <w:rPr>
                <w:sz w:val="24"/>
              </w:rPr>
            </w:pPr>
            <w:r>
              <w:rPr>
                <w:rFonts w:hint="eastAsia"/>
                <w:sz w:val="24"/>
              </w:rPr>
              <w:t>电能量采集装置</w:t>
            </w:r>
          </w:p>
        </w:tc>
        <w:tc>
          <w:tcPr>
            <w:tcW w:w="2977" w:type="dxa"/>
            <w:vAlign w:val="center"/>
          </w:tcPr>
          <w:p w14:paraId="7C4D2326">
            <w:pPr>
              <w:snapToGrid w:val="0"/>
              <w:spacing w:line="440" w:lineRule="exact"/>
              <w:ind w:firstLine="0" w:firstLineChars="0"/>
              <w:rPr>
                <w:sz w:val="24"/>
              </w:rPr>
            </w:pPr>
            <w:r>
              <w:rPr>
                <w:rFonts w:hint="eastAsia"/>
                <w:sz w:val="24"/>
              </w:rPr>
              <w:t>主机设备、网络设备</w:t>
            </w:r>
          </w:p>
        </w:tc>
        <w:tc>
          <w:tcPr>
            <w:tcW w:w="2409" w:type="dxa"/>
            <w:vAlign w:val="center"/>
          </w:tcPr>
          <w:p w14:paraId="69DE7586">
            <w:pPr>
              <w:snapToGrid w:val="0"/>
              <w:spacing w:line="440" w:lineRule="exact"/>
              <w:ind w:firstLine="0" w:firstLineChars="0"/>
              <w:rPr>
                <w:sz w:val="24"/>
              </w:rPr>
            </w:pPr>
            <w:r>
              <w:rPr>
                <w:rFonts w:hint="eastAsia"/>
                <w:sz w:val="24"/>
              </w:rPr>
              <w:t>包含装置类设备</w:t>
            </w:r>
          </w:p>
        </w:tc>
      </w:tr>
      <w:tr w14:paraId="041E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4AE01B6E">
            <w:pPr>
              <w:snapToGrid w:val="0"/>
              <w:spacing w:line="440" w:lineRule="exact"/>
              <w:ind w:firstLine="0" w:firstLineChars="0"/>
              <w:rPr>
                <w:rFonts w:ascii="宋体" w:hAnsi="宋体"/>
                <w:sz w:val="24"/>
              </w:rPr>
            </w:pPr>
            <w:r>
              <w:rPr>
                <w:rFonts w:hint="eastAsia" w:ascii="宋体" w:hAnsi="宋体"/>
                <w:sz w:val="24"/>
              </w:rPr>
              <w:t>风/光功率预测系统</w:t>
            </w:r>
          </w:p>
        </w:tc>
        <w:tc>
          <w:tcPr>
            <w:tcW w:w="2977" w:type="dxa"/>
            <w:vAlign w:val="center"/>
          </w:tcPr>
          <w:p w14:paraId="796D389A">
            <w:pPr>
              <w:snapToGrid w:val="0"/>
              <w:spacing w:line="440" w:lineRule="exact"/>
              <w:ind w:firstLine="0" w:firstLineChars="0"/>
              <w:rPr>
                <w:rFonts w:ascii="宋体" w:hAnsi="宋体"/>
                <w:sz w:val="24"/>
              </w:rPr>
            </w:pPr>
            <w:r>
              <w:rPr>
                <w:rFonts w:hint="eastAsia" w:ascii="宋体" w:hAnsi="宋体"/>
                <w:sz w:val="24"/>
              </w:rPr>
              <w:t>主机设备、网络设备</w:t>
            </w:r>
          </w:p>
        </w:tc>
        <w:tc>
          <w:tcPr>
            <w:tcW w:w="2409" w:type="dxa"/>
            <w:vAlign w:val="center"/>
          </w:tcPr>
          <w:p w14:paraId="391AD86A">
            <w:pPr>
              <w:snapToGrid w:val="0"/>
              <w:spacing w:line="440" w:lineRule="exact"/>
              <w:rPr>
                <w:rFonts w:ascii="宋体" w:hAnsi="宋体"/>
                <w:sz w:val="24"/>
              </w:rPr>
            </w:pPr>
          </w:p>
        </w:tc>
      </w:tr>
      <w:tr w14:paraId="685F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3" w:type="dxa"/>
            <w:vAlign w:val="center"/>
          </w:tcPr>
          <w:p w14:paraId="350FE979">
            <w:pPr>
              <w:snapToGrid w:val="0"/>
              <w:spacing w:line="440" w:lineRule="exact"/>
              <w:ind w:firstLine="0" w:firstLineChars="0"/>
              <w:rPr>
                <w:rFonts w:ascii="宋体" w:hAnsi="宋体"/>
                <w:sz w:val="24"/>
              </w:rPr>
            </w:pPr>
            <w:r>
              <w:rPr>
                <w:rFonts w:hint="eastAsia" w:ascii="宋体" w:hAnsi="宋体"/>
                <w:sz w:val="24"/>
              </w:rPr>
              <w:t>状态监测系统</w:t>
            </w:r>
          </w:p>
        </w:tc>
        <w:tc>
          <w:tcPr>
            <w:tcW w:w="2977" w:type="dxa"/>
            <w:vAlign w:val="center"/>
          </w:tcPr>
          <w:p w14:paraId="0DC1A2EF">
            <w:pPr>
              <w:snapToGrid w:val="0"/>
              <w:spacing w:line="440" w:lineRule="exact"/>
              <w:ind w:firstLine="0" w:firstLineChars="0"/>
              <w:rPr>
                <w:rFonts w:ascii="宋体" w:hAnsi="宋体"/>
                <w:sz w:val="24"/>
              </w:rPr>
            </w:pPr>
            <w:r>
              <w:rPr>
                <w:rFonts w:hint="eastAsia" w:ascii="宋体" w:hAnsi="宋体"/>
                <w:sz w:val="24"/>
              </w:rPr>
              <w:t>主机设备、网络设备</w:t>
            </w:r>
          </w:p>
        </w:tc>
        <w:tc>
          <w:tcPr>
            <w:tcW w:w="2409" w:type="dxa"/>
            <w:vAlign w:val="center"/>
          </w:tcPr>
          <w:p w14:paraId="7ABAC17E">
            <w:pPr>
              <w:snapToGrid w:val="0"/>
              <w:spacing w:line="440" w:lineRule="exact"/>
              <w:rPr>
                <w:rFonts w:ascii="宋体" w:hAnsi="宋体"/>
                <w:sz w:val="24"/>
              </w:rPr>
            </w:pPr>
          </w:p>
        </w:tc>
      </w:tr>
    </w:tbl>
    <w:p w14:paraId="671D6CE7">
      <w:pPr>
        <w:snapToGrid w:val="0"/>
        <w:spacing w:line="440" w:lineRule="exact"/>
        <w:rPr>
          <w:rFonts w:ascii="宋体" w:hAnsi="宋体"/>
          <w:sz w:val="24"/>
        </w:rPr>
      </w:pPr>
    </w:p>
    <w:p w14:paraId="3792C7DB">
      <w:pPr>
        <w:snapToGrid w:val="0"/>
        <w:spacing w:line="440" w:lineRule="exact"/>
        <w:ind w:firstLine="0" w:firstLineChars="0"/>
        <w:jc w:val="both"/>
        <w:outlineLvl w:val="1"/>
        <w:rPr>
          <w:rFonts w:ascii="宋体" w:hAnsi="宋体" w:cs="宋体"/>
          <w:b/>
          <w:color w:val="000000"/>
          <w:sz w:val="24"/>
        </w:rPr>
      </w:pPr>
      <w:bookmarkStart w:id="38" w:name="_Toc169078730"/>
      <w:r>
        <w:rPr>
          <w:rFonts w:ascii="宋体" w:hAnsi="宋体" w:cs="宋体"/>
          <w:b/>
          <w:color w:val="000000"/>
          <w:sz w:val="24"/>
        </w:rPr>
        <w:t>4.11 防火墙设备</w:t>
      </w:r>
      <w:bookmarkEnd w:id="38"/>
    </w:p>
    <w:p w14:paraId="7BBC3B92">
      <w:pPr>
        <w:pStyle w:val="5"/>
        <w:ind w:firstLine="480"/>
      </w:pPr>
      <w:r>
        <w:rPr>
          <w:rFonts w:hint="eastAsia" w:ascii="宋体" w:hAnsi="宋体" w:cs="宋体"/>
          <w:color w:val="000000"/>
        </w:rPr>
        <w:t>4</w:t>
      </w:r>
      <w:r>
        <w:rPr>
          <w:rFonts w:ascii="宋体" w:hAnsi="宋体" w:cs="宋体"/>
          <w:color w:val="000000"/>
        </w:rPr>
        <w:t>.11.1 功能要求</w:t>
      </w:r>
    </w:p>
    <w:p w14:paraId="39901540">
      <w:pPr>
        <w:pStyle w:val="5"/>
        <w:ind w:firstLine="480"/>
      </w:pPr>
      <w:r>
        <w:t>1）防火墙设备应具有包过滤功能，包括但不止于以下功能：</w:t>
      </w:r>
    </w:p>
    <w:p w14:paraId="302BF33B">
      <w:pPr>
        <w:pStyle w:val="5"/>
        <w:ind w:firstLine="480"/>
      </w:pPr>
      <w:r>
        <w:t>支持基于 IP 地址的访问控制。 支持基于协议、端口的访问控制。</w:t>
      </w:r>
    </w:p>
    <w:p w14:paraId="0868EA97">
      <w:pPr>
        <w:pStyle w:val="5"/>
        <w:ind w:firstLine="480"/>
      </w:pPr>
      <w:r>
        <w:t>支持基于 MAC 地址的访问控制。</w:t>
      </w:r>
    </w:p>
    <w:p w14:paraId="6CFEA2F2">
      <w:pPr>
        <w:pStyle w:val="5"/>
        <w:ind w:firstLine="480"/>
      </w:pPr>
      <w:r>
        <w:t>支持基于时间的访问控制。</w:t>
      </w:r>
    </w:p>
    <w:p w14:paraId="3D995D79">
      <w:pPr>
        <w:pStyle w:val="5"/>
        <w:ind w:firstLine="480"/>
      </w:pPr>
      <w:r>
        <w:t>支持基于 IP 地址、协议、端口、时间等参数组合的访问控制。</w:t>
      </w:r>
    </w:p>
    <w:p w14:paraId="4FE549F9">
      <w:pPr>
        <w:pStyle w:val="5"/>
        <w:ind w:firstLine="480"/>
      </w:pPr>
      <w:r>
        <w:t>2）防火墙设备应具有深度包检测功能，包括但不止于以下功能： 支持基于 URL 的访问控制。</w:t>
      </w:r>
    </w:p>
    <w:p w14:paraId="54DAD3AB">
      <w:pPr>
        <w:pStyle w:val="5"/>
        <w:ind w:firstLine="480"/>
      </w:pPr>
      <w:r>
        <w:t>支持 SMTP，POP3 协议，可对电子邮件中 Subject、To、From 域等进行访问 控制。</w:t>
      </w:r>
    </w:p>
    <w:p w14:paraId="471294FE">
      <w:pPr>
        <w:pStyle w:val="5"/>
        <w:ind w:firstLine="480"/>
      </w:pPr>
      <w:r>
        <w:t>支持基于 HTTP，FTP，SMTP，POP3 协议的文件类型的访问控制。</w:t>
      </w:r>
    </w:p>
    <w:p w14:paraId="174573DF">
      <w:pPr>
        <w:pStyle w:val="5"/>
        <w:ind w:firstLine="480"/>
      </w:pPr>
      <w:r>
        <w:t xml:space="preserve">支持基于 HTTP 页面及电子邮件正文的关键字访问控制。 </w:t>
      </w:r>
    </w:p>
    <w:p w14:paraId="01D546B7">
      <w:pPr>
        <w:pStyle w:val="5"/>
        <w:ind w:firstLine="480"/>
      </w:pPr>
      <w:r>
        <w:t>3）防火墙设备应支持 SNAT、DNAT 的动态网络地址转换。</w:t>
      </w:r>
    </w:p>
    <w:p w14:paraId="46C2175C">
      <w:pPr>
        <w:pStyle w:val="5"/>
        <w:ind w:firstLine="480"/>
      </w:pPr>
      <w:r>
        <w:t>4）防火墙设备应支持 IP/MAC 地址绑定。</w:t>
      </w:r>
    </w:p>
    <w:p w14:paraId="0E72051A">
      <w:pPr>
        <w:pStyle w:val="5"/>
        <w:ind w:firstLine="480"/>
      </w:pPr>
      <w:r>
        <w:t>5）防火墙设备应具有动态开放端口功能，包括但不止于以下功能：</w:t>
      </w:r>
    </w:p>
    <w:p w14:paraId="0221AE42">
      <w:pPr>
        <w:pStyle w:val="5"/>
        <w:ind w:firstLine="480"/>
      </w:pPr>
      <w:r>
        <w:t>支持 FTP 的动态端口开放。</w:t>
      </w:r>
    </w:p>
    <w:p w14:paraId="70B11A0D">
      <w:pPr>
        <w:pStyle w:val="5"/>
        <w:ind w:firstLine="480"/>
      </w:pPr>
      <w:r>
        <w:t>支持以 H.323 协议建立视频会议。</w:t>
      </w:r>
    </w:p>
    <w:p w14:paraId="0F6A1C3C">
      <w:pPr>
        <w:pStyle w:val="5"/>
        <w:ind w:firstLine="480"/>
      </w:pPr>
      <w:r>
        <w:t>支持 SQL.NET 数据库协议。</w:t>
      </w:r>
    </w:p>
    <w:p w14:paraId="77D9E64F">
      <w:pPr>
        <w:pStyle w:val="5"/>
        <w:ind w:firstLine="480"/>
      </w:pPr>
      <w:r>
        <w:t>6）防火墙设备应具有网络适应及路由策略功能，包括但不止于以下功能：</w:t>
      </w:r>
    </w:p>
    <w:p w14:paraId="4744D092">
      <w:pPr>
        <w:pStyle w:val="5"/>
        <w:ind w:firstLine="480"/>
      </w:pPr>
      <w:r>
        <w:t>支持静态路由、动态路由（RIP、OSPF）。</w:t>
      </w:r>
    </w:p>
    <w:p w14:paraId="77DA1119">
      <w:pPr>
        <w:pStyle w:val="5"/>
        <w:ind w:firstLine="480"/>
      </w:pPr>
      <w:r>
        <w:t>支持路由、透明和混合工作模式。</w:t>
      </w:r>
    </w:p>
    <w:p w14:paraId="2804EA70">
      <w:pPr>
        <w:pStyle w:val="5"/>
        <w:ind w:firstLine="480"/>
      </w:pPr>
      <w:r>
        <w:t>支持 VLAN TRUNK 网络环境（802.1q）。</w:t>
      </w:r>
    </w:p>
    <w:p w14:paraId="68DC10EA">
      <w:pPr>
        <w:pStyle w:val="5"/>
        <w:ind w:firstLine="480"/>
      </w:pPr>
      <w:r>
        <w:t>支持根据数据包信息设置策略路由。</w:t>
      </w:r>
    </w:p>
    <w:p w14:paraId="7B6EF64D">
      <w:pPr>
        <w:pStyle w:val="5"/>
        <w:ind w:firstLine="480"/>
      </w:pPr>
      <w:r>
        <w:t>7）应能够基于 IP 地址、协议、时间等参数对流量进行统计，可根据不同条件设置统计规则。</w:t>
      </w:r>
    </w:p>
    <w:p w14:paraId="30A07F80">
      <w:pPr>
        <w:pStyle w:val="5"/>
        <w:ind w:firstLine="480"/>
      </w:pPr>
      <w:r>
        <w:t>8）应支持基于 IP 地址及协议的带宽管理功能。</w:t>
      </w:r>
    </w:p>
    <w:p w14:paraId="0BCA48CF">
      <w:pPr>
        <w:pStyle w:val="5"/>
        <w:ind w:firstLine="480"/>
      </w:pPr>
      <w:r>
        <w:t>9）应支持物理设备状态及链路状态检测的双机热备，支持状态同步，切换 时间小于或等于 5s。</w:t>
      </w:r>
    </w:p>
    <w:p w14:paraId="35A5AAB8">
      <w:pPr>
        <w:pStyle w:val="5"/>
        <w:ind w:firstLine="480"/>
      </w:pPr>
      <w:r>
        <w:t>10）应支持网络负载均衡到多台服务器。</w:t>
      </w:r>
    </w:p>
    <w:p w14:paraId="13BDAB77">
      <w:pPr>
        <w:pStyle w:val="5"/>
        <w:ind w:firstLine="480"/>
      </w:pPr>
      <w:r>
        <w:t>11）设备需要支持网络时间同步协议 NTP，支持 NTP 认证和 NTP 客户端。</w:t>
      </w:r>
    </w:p>
    <w:p w14:paraId="69B750BA">
      <w:pPr>
        <w:pStyle w:val="5"/>
        <w:ind w:firstLine="480"/>
      </w:pPr>
      <w:r>
        <w:rPr>
          <w:rFonts w:hint="eastAsia" w:ascii="宋体" w:hAnsi="宋体" w:cs="宋体"/>
          <w:color w:val="000000"/>
        </w:rPr>
        <w:t>4</w:t>
      </w:r>
      <w:r>
        <w:rPr>
          <w:rFonts w:ascii="宋体" w:hAnsi="宋体" w:cs="宋体"/>
          <w:color w:val="000000"/>
        </w:rPr>
        <w:t>.11.2</w:t>
      </w:r>
      <w:r>
        <w:t xml:space="preserve"> 防火墙日志报表要求</w:t>
      </w:r>
    </w:p>
    <w:p w14:paraId="7D0FB353">
      <w:pPr>
        <w:pStyle w:val="5"/>
        <w:ind w:firstLine="480"/>
      </w:pPr>
      <w:r>
        <w:t>1）防火墙设备应具有日志记录功能，包括但不止于以下功能：</w:t>
      </w:r>
    </w:p>
    <w:p w14:paraId="26A982AE">
      <w:pPr>
        <w:pStyle w:val="5"/>
        <w:ind w:firstLine="480"/>
      </w:pPr>
      <w:r>
        <w:t>支持记录被安全策略允许、拒绝的访问请求。</w:t>
      </w:r>
    </w:p>
    <w:p w14:paraId="1201BF84">
      <w:pPr>
        <w:pStyle w:val="5"/>
        <w:ind w:firstLine="480"/>
      </w:pPr>
      <w:r>
        <w:t xml:space="preserve">支持记录防火墙的管理行为、认证请求。 审计记录的内容应至少包括时间、日期、事件类型、事件描述、处理结果等。 </w:t>
      </w:r>
    </w:p>
    <w:p w14:paraId="53A1696E">
      <w:pPr>
        <w:pStyle w:val="5"/>
        <w:ind w:firstLine="480"/>
      </w:pPr>
      <w:r>
        <w:t>2）应支持日志的统计分析和报表生成，能够基于 IP 地址、协议等条件定制生成报表。</w:t>
      </w:r>
    </w:p>
    <w:p w14:paraId="516984AF">
      <w:pPr>
        <w:pStyle w:val="5"/>
        <w:ind w:firstLine="480"/>
      </w:pPr>
      <w:r>
        <w:t>3）装置应具有集中管理功能，可对分布式的防火墙进行统一集中管理；支持日志集中管理。</w:t>
      </w:r>
    </w:p>
    <w:p w14:paraId="4E03DD79">
      <w:pPr>
        <w:pStyle w:val="5"/>
        <w:ind w:firstLine="480"/>
      </w:pPr>
      <w:r>
        <w:t>4）应支持日志的授权访问，授权用户可对日志进行检索、清空、备份等操作。</w:t>
      </w:r>
    </w:p>
    <w:p w14:paraId="2D09ECE6">
      <w:pPr>
        <w:pStyle w:val="5"/>
        <w:ind w:firstLine="480"/>
      </w:pPr>
      <w:r>
        <w:t>5）应支持日志存储耗尽处理机制，如向管理员报警、覆盖最早的日志等。</w:t>
      </w:r>
    </w:p>
    <w:p w14:paraId="3CA90C19">
      <w:pPr>
        <w:pStyle w:val="5"/>
        <w:ind w:firstLine="480"/>
      </w:pPr>
      <w:r>
        <w:rPr>
          <w:rFonts w:hint="eastAsia" w:ascii="宋体" w:hAnsi="宋体" w:cs="宋体"/>
          <w:color w:val="000000"/>
        </w:rPr>
        <w:t>4</w:t>
      </w:r>
      <w:r>
        <w:rPr>
          <w:rFonts w:ascii="宋体" w:hAnsi="宋体" w:cs="宋体"/>
          <w:color w:val="000000"/>
        </w:rPr>
        <w:t>.11.3</w:t>
      </w:r>
      <w:r>
        <w:t xml:space="preserve"> 防火墙管理要求</w:t>
      </w:r>
    </w:p>
    <w:p w14:paraId="44745F5F">
      <w:pPr>
        <w:pStyle w:val="5"/>
        <w:ind w:firstLine="480"/>
      </w:pPr>
      <w:r>
        <w:t>1）支持管理员权限划分。</w:t>
      </w:r>
    </w:p>
    <w:p w14:paraId="67C8BB26">
      <w:pPr>
        <w:pStyle w:val="5"/>
        <w:ind w:firstLine="480"/>
      </w:pPr>
      <w:r>
        <w:t>2）支持对授权管理员的口令、Radius 等认证鉴别方式，提供鉴别失败处理 机制，支持对管理 IP 地址进行设置。</w:t>
      </w:r>
    </w:p>
    <w:p w14:paraId="3AC55D1C">
      <w:pPr>
        <w:pStyle w:val="5"/>
        <w:ind w:firstLine="480"/>
      </w:pPr>
      <w:r>
        <w:t>3）防火墙设备应具有多种管理方式，包括但不止于以下功能：</w:t>
      </w:r>
    </w:p>
    <w:p w14:paraId="01090D49">
      <w:pPr>
        <w:pStyle w:val="5"/>
        <w:ind w:firstLine="480"/>
      </w:pPr>
      <w:r>
        <w:t>支持本地和远程安全管理。</w:t>
      </w:r>
    </w:p>
    <w:p w14:paraId="74B1C8B2">
      <w:pPr>
        <w:pStyle w:val="5"/>
        <w:ind w:firstLine="480"/>
      </w:pPr>
      <w:r>
        <w:t>支持软件升级。</w:t>
      </w:r>
    </w:p>
    <w:p w14:paraId="1605E2FB">
      <w:pPr>
        <w:pStyle w:val="5"/>
        <w:ind w:firstLine="480"/>
      </w:pPr>
      <w:r>
        <w:t>具有中文 GUI 界面，通过 GUI 能够完成全部配置、管理工作，支持中文对象名。</w:t>
      </w:r>
    </w:p>
    <w:p w14:paraId="3CA1D52F">
      <w:pPr>
        <w:pStyle w:val="5"/>
        <w:ind w:firstLine="480"/>
      </w:pPr>
      <w:r>
        <w:t>4）支持配置的备份与恢复，允许恢复出厂设置。</w:t>
      </w:r>
    </w:p>
    <w:p w14:paraId="508E0ED1">
      <w:pPr>
        <w:pStyle w:val="5"/>
        <w:ind w:firstLine="480"/>
      </w:pPr>
      <w:r>
        <w:t>5）支持防火墙状态监控，如 CPU、内存、端口状态；支持网络流量状态监 控。</w:t>
      </w:r>
    </w:p>
    <w:p w14:paraId="42F0104D">
      <w:pPr>
        <w:pStyle w:val="5"/>
        <w:ind w:firstLine="480"/>
      </w:pPr>
      <w:r>
        <w:rPr>
          <w:rFonts w:hint="eastAsia" w:ascii="宋体" w:hAnsi="宋体" w:cs="宋体"/>
          <w:color w:val="000000"/>
        </w:rPr>
        <w:t>4</w:t>
      </w:r>
      <w:r>
        <w:rPr>
          <w:rFonts w:ascii="宋体" w:hAnsi="宋体" w:cs="宋体"/>
          <w:color w:val="000000"/>
        </w:rPr>
        <w:t>.11.4</w:t>
      </w:r>
      <w:r>
        <w:t xml:space="preserve"> 防火墙自身安全性要求</w:t>
      </w:r>
    </w:p>
    <w:p w14:paraId="6105F02E">
      <w:pPr>
        <w:pStyle w:val="5"/>
        <w:ind w:firstLine="480"/>
      </w:pPr>
      <w:r>
        <w:t>1）应能抵抗各种典型的拒绝服务攻击，如 SYN Flood，UDP Flood，ICMP Flood。</w:t>
      </w:r>
    </w:p>
    <w:p w14:paraId="43AFBB77">
      <w:pPr>
        <w:pStyle w:val="5"/>
        <w:ind w:firstLine="480"/>
      </w:pPr>
      <w:r>
        <w:t>2）能抵抗 IP 碎片包攻击。</w:t>
      </w:r>
    </w:p>
    <w:p w14:paraId="640F5C76">
      <w:pPr>
        <w:pStyle w:val="5"/>
        <w:ind w:firstLine="480"/>
      </w:pPr>
      <w:r>
        <w:t>3）能抵御源 IP 地址欺骗攻击。</w:t>
      </w:r>
    </w:p>
    <w:p w14:paraId="022266ED">
      <w:pPr>
        <w:pStyle w:val="5"/>
        <w:ind w:firstLine="480"/>
      </w:pPr>
      <w:r>
        <w:t>4）能够检测和记录端口扫描行为，不返回敏感信息。</w:t>
      </w:r>
    </w:p>
    <w:p w14:paraId="78A1FC1D">
      <w:pPr>
        <w:ind w:firstLine="0" w:firstLineChars="0"/>
        <w:outlineLvl w:val="0"/>
        <w:rPr>
          <w:rFonts w:ascii="宋体" w:hAnsi="宋体"/>
          <w:b/>
          <w:color w:val="000000"/>
          <w:sz w:val="28"/>
          <w:szCs w:val="28"/>
        </w:rPr>
      </w:pPr>
      <w:bookmarkStart w:id="39" w:name="_Toc169078731"/>
      <w:bookmarkStart w:id="40" w:name="_Toc176769529"/>
      <w:r>
        <w:rPr>
          <w:rFonts w:hint="eastAsia" w:ascii="宋体" w:hAnsi="宋体"/>
          <w:b/>
          <w:color w:val="000000"/>
          <w:sz w:val="28"/>
          <w:szCs w:val="28"/>
        </w:rPr>
        <w:t>5 机柜要求</w:t>
      </w:r>
      <w:bookmarkEnd w:id="39"/>
    </w:p>
    <w:p w14:paraId="54E80562">
      <w:pPr>
        <w:snapToGrid w:val="0"/>
        <w:spacing w:line="440" w:lineRule="exact"/>
        <w:rPr>
          <w:rFonts w:ascii="宋体" w:hAnsi="宋体"/>
          <w:sz w:val="24"/>
        </w:rPr>
      </w:pPr>
      <w:r>
        <w:rPr>
          <w:rFonts w:hint="eastAsia" w:ascii="宋体" w:hAnsi="宋体"/>
          <w:sz w:val="24"/>
        </w:rPr>
        <w:t>5.1屏内的所安装的元器件应有型式试验报告和合格证，宜采用标准化元件和组件。</w:t>
      </w:r>
    </w:p>
    <w:p w14:paraId="49AB1156">
      <w:pPr>
        <w:pStyle w:val="5"/>
        <w:ind w:firstLine="480"/>
        <w:rPr>
          <w:rFonts w:ascii="宋体" w:hAnsi="宋体"/>
        </w:rPr>
      </w:pPr>
      <w:r>
        <w:rPr>
          <w:rFonts w:hint="eastAsia" w:ascii="宋体" w:hAnsi="宋体"/>
        </w:rPr>
        <w:t>5.2柜体下方应设有接地铜排和端子。接地铜排的的截面不应小于100</w:t>
      </w:r>
      <w:r>
        <w:rPr>
          <w:rFonts w:ascii="宋体" w:hAnsi="宋体"/>
        </w:rPr>
        <w:t>mm</w:t>
      </w:r>
      <w:r>
        <w:rPr>
          <w:rFonts w:ascii="宋体" w:hAnsi="宋体"/>
          <w:vertAlign w:val="superscript"/>
        </w:rPr>
        <w:t>2</w:t>
      </w:r>
      <w:r>
        <w:rPr>
          <w:rFonts w:ascii="宋体" w:hAnsi="宋体"/>
        </w:rPr>
        <w:t>，</w:t>
      </w:r>
      <w:r>
        <w:rPr>
          <w:rFonts w:hint="eastAsia" w:ascii="宋体" w:hAnsi="宋体"/>
        </w:rPr>
        <w:t>接地端子为压接型。屏间铜排应方便互连。</w:t>
      </w:r>
    </w:p>
    <w:p w14:paraId="4D4F91D3">
      <w:pPr>
        <w:rPr>
          <w:rFonts w:ascii="宋体" w:hAnsi="宋体"/>
          <w:sz w:val="24"/>
        </w:rPr>
      </w:pPr>
      <w:r>
        <w:rPr>
          <w:rFonts w:hint="eastAsia" w:ascii="宋体" w:hAnsi="宋体"/>
          <w:sz w:val="24"/>
        </w:rPr>
        <w:t>5.3柜体防护等级IP30级，选用高强度钢组合结构，并充分考虑散热的要求。屏应有良好的防电磁干扰的屏蔽功能。</w:t>
      </w:r>
    </w:p>
    <w:p w14:paraId="095CCFC7">
      <w:pPr>
        <w:pStyle w:val="5"/>
        <w:ind w:firstLine="480"/>
      </w:pPr>
      <w:r>
        <w:rPr>
          <w:rFonts w:hint="eastAsia" w:ascii="宋体" w:hAnsi="宋体"/>
        </w:rPr>
        <w:t>5.4屏体尺寸为宽800mm、深600mm、高2260mm。屏体结构为屏前、后开门、垂直自立、柜门内嵌式的柜式结构，正视屏体，</w:t>
      </w:r>
      <w:r>
        <w:rPr>
          <w:rFonts w:hint="eastAsia" w:ascii="宋体" w:hAnsi="宋体"/>
          <w:b/>
        </w:rPr>
        <w:t>转轴在左边，门把手在右边</w:t>
      </w:r>
      <w:r>
        <w:rPr>
          <w:rFonts w:hint="eastAsia" w:ascii="宋体" w:hAnsi="宋体"/>
        </w:rPr>
        <w:t>。屏柜颜色：业主定</w:t>
      </w:r>
      <w:r>
        <w:rPr>
          <w:rFonts w:hint="eastAsia" w:ascii="宋体" w:hAnsi="宋体"/>
          <w:u w:val="single"/>
        </w:rPr>
        <w:t>。</w:t>
      </w:r>
    </w:p>
    <w:p w14:paraId="0A4D15C6">
      <w:pPr>
        <w:rPr>
          <w:rFonts w:ascii="宋体" w:hAnsi="宋体"/>
          <w:sz w:val="24"/>
        </w:rPr>
      </w:pPr>
      <w:r>
        <w:rPr>
          <w:rFonts w:hint="eastAsia" w:ascii="宋体" w:hAnsi="宋体"/>
          <w:sz w:val="24"/>
        </w:rPr>
        <w:t>5.5所有供货的屏均应有足够的支撑强度，应提供必要设施，以保证能够正确起吊、运输、存放和安装设备，且应提供地脚螺栓孔。</w:t>
      </w:r>
    </w:p>
    <w:p w14:paraId="48B5C6D3">
      <w:pPr>
        <w:snapToGrid w:val="0"/>
        <w:spacing w:line="440" w:lineRule="exact"/>
        <w:rPr>
          <w:rFonts w:ascii="宋体" w:hAnsi="宋体"/>
          <w:sz w:val="24"/>
        </w:rPr>
      </w:pPr>
      <w:r>
        <w:rPr>
          <w:rFonts w:hint="eastAsia" w:ascii="宋体" w:hAnsi="宋体"/>
          <w:sz w:val="24"/>
        </w:rPr>
        <w:t>5.6所有屏面应清洁，并涂有一层底漆和两层面漆，或静电粉末喷涂，以防止在运输、仓储和运行中的腐蚀和锈蚀。</w:t>
      </w:r>
    </w:p>
    <w:p w14:paraId="5403EEE6">
      <w:pPr>
        <w:snapToGrid w:val="0"/>
        <w:spacing w:line="440" w:lineRule="exact"/>
        <w:rPr>
          <w:rFonts w:ascii="宋体" w:hAnsi="宋体"/>
          <w:sz w:val="24"/>
        </w:rPr>
      </w:pPr>
      <w:r>
        <w:rPr>
          <w:rFonts w:hint="eastAsia" w:ascii="宋体" w:hAnsi="宋体"/>
          <w:sz w:val="24"/>
        </w:rPr>
        <w:t>5.7屏柜内部配有风扇4台，12孔高级电源插座(16A)一个。</w:t>
      </w:r>
    </w:p>
    <w:p w14:paraId="18627563">
      <w:pPr>
        <w:snapToGrid w:val="0"/>
        <w:spacing w:line="440" w:lineRule="exact"/>
        <w:rPr>
          <w:rFonts w:ascii="宋体" w:hAnsi="宋体"/>
          <w:sz w:val="24"/>
        </w:rPr>
      </w:pPr>
      <w:r>
        <w:rPr>
          <w:rFonts w:hint="eastAsia" w:ascii="宋体" w:hAnsi="宋体"/>
          <w:sz w:val="24"/>
        </w:rPr>
        <w:t>5.8直流电源应采用双极快速专用直流小开关，并具有合适的断流能力和指示器。</w:t>
      </w:r>
    </w:p>
    <w:bookmarkEnd w:id="40"/>
    <w:p w14:paraId="103A0AB6">
      <w:pPr>
        <w:snapToGrid w:val="0"/>
        <w:spacing w:line="360" w:lineRule="auto"/>
        <w:ind w:left="-8" w:leftChars="-4" w:right="170"/>
        <w:rPr>
          <w:rFonts w:ascii="宋体" w:hAnsi="宋体"/>
          <w:color w:val="000000"/>
          <w:sz w:val="24"/>
          <w:szCs w:val="24"/>
        </w:rPr>
      </w:pPr>
    </w:p>
    <w:p w14:paraId="7DB5FA7E">
      <w:pPr>
        <w:ind w:firstLine="0" w:firstLineChars="0"/>
        <w:outlineLvl w:val="0"/>
        <w:rPr>
          <w:rFonts w:ascii="宋体" w:hAnsi="宋体"/>
          <w:b/>
          <w:color w:val="000000"/>
          <w:sz w:val="28"/>
          <w:szCs w:val="28"/>
        </w:rPr>
      </w:pPr>
      <w:bookmarkStart w:id="41" w:name="_Toc169078732"/>
      <w:bookmarkStart w:id="42" w:name="_Toc27946"/>
      <w:bookmarkStart w:id="43" w:name="_Toc29868"/>
      <w:bookmarkStart w:id="44" w:name="_Toc15176"/>
      <w:bookmarkStart w:id="45" w:name="_Toc19465"/>
      <w:bookmarkStart w:id="46" w:name="_Toc196"/>
      <w:bookmarkStart w:id="47" w:name="_Toc5892"/>
      <w:bookmarkStart w:id="48" w:name="_Toc21736"/>
      <w:bookmarkStart w:id="49" w:name="_Toc28081"/>
      <w:bookmarkStart w:id="50" w:name="_Toc19048"/>
      <w:bookmarkStart w:id="51" w:name="_Toc808"/>
      <w:bookmarkStart w:id="52" w:name="_Toc8093"/>
      <w:r>
        <w:rPr>
          <w:rFonts w:hint="eastAsia" w:ascii="宋体" w:hAnsi="宋体"/>
          <w:b/>
          <w:color w:val="000000"/>
          <w:sz w:val="28"/>
          <w:szCs w:val="28"/>
        </w:rPr>
        <w:t>第二章 供货范围</w:t>
      </w:r>
      <w:bookmarkEnd w:id="41"/>
    </w:p>
    <w:p w14:paraId="5447F029">
      <w:pPr>
        <w:ind w:firstLine="0" w:firstLineChars="0"/>
        <w:outlineLvl w:val="1"/>
        <w:rPr>
          <w:rFonts w:ascii="宋体" w:hAnsi="宋体"/>
          <w:b/>
          <w:color w:val="000000"/>
          <w:sz w:val="24"/>
        </w:rPr>
      </w:pPr>
      <w:bookmarkStart w:id="53" w:name="_Toc168649636"/>
      <w:r>
        <w:rPr>
          <w:rFonts w:hint="eastAsia" w:ascii="宋体" w:hAnsi="宋体"/>
          <w:b/>
          <w:color w:val="000000"/>
          <w:sz w:val="24"/>
        </w:rPr>
        <w:t xml:space="preserve">1 </w:t>
      </w:r>
      <w:r>
        <w:rPr>
          <w:rFonts w:ascii="宋体" w:hAnsi="宋体"/>
          <w:b/>
          <w:color w:val="000000"/>
          <w:sz w:val="24"/>
        </w:rPr>
        <w:t>一般要求</w:t>
      </w:r>
      <w:bookmarkEnd w:id="53"/>
    </w:p>
    <w:p w14:paraId="282C7FF7">
      <w:pPr>
        <w:snapToGrid w:val="0"/>
        <w:rPr>
          <w:rFonts w:ascii="宋体" w:hAnsi="宋体"/>
          <w:color w:val="000000"/>
          <w:sz w:val="24"/>
        </w:rPr>
      </w:pPr>
      <w:r>
        <w:rPr>
          <w:rFonts w:hint="eastAsia" w:ascii="宋体" w:hAnsi="宋体"/>
          <w:color w:val="000000"/>
          <w:sz w:val="24"/>
        </w:rPr>
        <w:t>1.1卖家保证提供设备为全新的、先进的、成熟的、完整的、安全可靠的，且设备的技术经济性能符合本技术协议书的要求。</w:t>
      </w:r>
    </w:p>
    <w:p w14:paraId="1F66D1EE">
      <w:pPr>
        <w:snapToGrid w:val="0"/>
        <w:rPr>
          <w:rFonts w:ascii="宋体" w:hAnsi="宋体"/>
          <w:color w:val="000000"/>
          <w:sz w:val="24"/>
        </w:rPr>
      </w:pPr>
      <w:r>
        <w:rPr>
          <w:rFonts w:hint="eastAsia" w:ascii="宋体" w:hAnsi="宋体"/>
          <w:color w:val="000000"/>
          <w:sz w:val="24"/>
        </w:rPr>
        <w:t>1.2 卖家应提供详细供货清单，清单中依此说明型号、数量、产地、生产厂家等内容。对于属于整套设备运行和施工所必需的部件，即使未列出、数目不足的，卖家仍须在执行的同时免费补足。</w:t>
      </w:r>
    </w:p>
    <w:p w14:paraId="270D6735">
      <w:pPr>
        <w:snapToGrid w:val="0"/>
        <w:rPr>
          <w:rFonts w:ascii="宋体" w:hAnsi="宋体"/>
          <w:color w:val="000000"/>
          <w:sz w:val="24"/>
        </w:rPr>
      </w:pPr>
      <w:r>
        <w:rPr>
          <w:rFonts w:hint="eastAsia" w:ascii="宋体" w:hAnsi="宋体"/>
          <w:color w:val="000000"/>
          <w:sz w:val="24"/>
        </w:rPr>
        <w:t>1.3 卖家应提供所有安装和检修所需专用工具和装置性材料等，并提供详细供货清单。</w:t>
      </w:r>
    </w:p>
    <w:p w14:paraId="4084A486">
      <w:pPr>
        <w:snapToGrid w:val="0"/>
        <w:rPr>
          <w:rFonts w:ascii="宋体" w:hAnsi="宋体"/>
          <w:color w:val="000000"/>
          <w:sz w:val="24"/>
        </w:rPr>
      </w:pPr>
      <w:r>
        <w:rPr>
          <w:rFonts w:hint="eastAsia" w:ascii="宋体" w:hAnsi="宋体"/>
          <w:color w:val="000000"/>
          <w:sz w:val="24"/>
        </w:rPr>
        <w:t>1.4 提供运行所需备品备件(包括仪表和控制设备)，并在投标书中给出具体清单。</w:t>
      </w:r>
    </w:p>
    <w:p w14:paraId="0EB91D9D">
      <w:pPr>
        <w:snapToGrid w:val="0"/>
        <w:rPr>
          <w:rFonts w:ascii="宋体" w:hAnsi="宋体"/>
          <w:color w:val="000000"/>
          <w:sz w:val="24"/>
        </w:rPr>
      </w:pPr>
      <w:r>
        <w:rPr>
          <w:rFonts w:hint="eastAsia" w:ascii="宋体" w:hAnsi="宋体"/>
          <w:color w:val="000000"/>
          <w:sz w:val="24"/>
        </w:rPr>
        <w:t>1.5 提供所供设备的外购件清单。</w:t>
      </w:r>
    </w:p>
    <w:p w14:paraId="03F85FEB">
      <w:pPr>
        <w:snapToGrid w:val="0"/>
        <w:rPr>
          <w:rFonts w:ascii="宋体" w:hAnsi="宋体"/>
          <w:color w:val="000000"/>
          <w:sz w:val="24"/>
        </w:rPr>
      </w:pPr>
      <w:r>
        <w:rPr>
          <w:rFonts w:hint="eastAsia" w:ascii="宋体" w:hAnsi="宋体"/>
          <w:color w:val="000000"/>
          <w:sz w:val="24"/>
        </w:rPr>
        <w:t>1.6 卖家提供的技术资料清单见第三章。</w:t>
      </w:r>
    </w:p>
    <w:p w14:paraId="17E6C989">
      <w:pPr>
        <w:snapToGrid w:val="0"/>
        <w:rPr>
          <w:rFonts w:ascii="宋体" w:hAnsi="宋体"/>
          <w:color w:val="000000"/>
          <w:sz w:val="24"/>
        </w:rPr>
      </w:pPr>
      <w:r>
        <w:rPr>
          <w:rFonts w:hint="eastAsia" w:ascii="宋体" w:hAnsi="宋体"/>
          <w:color w:val="000000"/>
          <w:sz w:val="24"/>
        </w:rPr>
        <w:t>1.7 卖家所供产品须满足当地电网公司关于品牌、型号、版本、通信等所有要求，并具备设备性能检测报告。卖家需负责全部装置的安装调试工作，并负责与电网配合的全部工作直至所供设备顺利通过验收，投入使用。</w:t>
      </w:r>
    </w:p>
    <w:p w14:paraId="11FCF0FE">
      <w:pPr>
        <w:pStyle w:val="2"/>
        <w:numPr>
          <w:ilvl w:val="0"/>
          <w:numId w:val="0"/>
        </w:numPr>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42"/>
      <w:bookmarkEnd w:id="43"/>
      <w:bookmarkEnd w:id="44"/>
      <w:bookmarkEnd w:id="45"/>
      <w:bookmarkEnd w:id="46"/>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47"/>
    <w:bookmarkEnd w:id="48"/>
    <w:bookmarkEnd w:id="49"/>
    <w:bookmarkEnd w:id="50"/>
    <w:bookmarkEnd w:id="51"/>
    <w:bookmarkEnd w:id="52"/>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4"/>
          <w:szCs w:val="44"/>
          <w:highlight w:val="none"/>
          <w:u w:val="none"/>
          <w:lang w:val="en-US" w:eastAsia="zh-CN" w:bidi="ar-SA"/>
        </w:rPr>
      </w:pPr>
      <w:r>
        <w:rPr>
          <w:rFonts w:hint="eastAsia" w:ascii="宋体" w:hAnsi="宋体" w:eastAsia="宋体" w:cs="宋体"/>
          <w:b/>
          <w:bCs w:val="0"/>
          <w:color w:val="auto"/>
          <w:sz w:val="44"/>
          <w:szCs w:val="44"/>
          <w:highlight w:val="none"/>
          <w:lang w:val="zh-CN" w:eastAsia="zh-CN" w:bidi="en-US"/>
        </w:rPr>
        <w:t>高粱冲光伏发电项目</w:t>
      </w:r>
      <w:r>
        <w:rPr>
          <w:rFonts w:hint="eastAsia" w:ascii="宋体" w:hAnsi="宋体" w:eastAsia="宋体" w:cs="宋体"/>
          <w:b/>
          <w:bCs/>
          <w:color w:val="auto"/>
          <w:sz w:val="44"/>
          <w:szCs w:val="44"/>
          <w:highlight w:val="none"/>
          <w:u w:val="none"/>
          <w:lang w:val="en-US" w:eastAsia="zh-CN"/>
        </w:rPr>
        <w:t>3</w:t>
      </w:r>
      <w:r>
        <w:rPr>
          <w:rFonts w:hint="eastAsia" w:ascii="宋体" w:hAnsi="宋体" w:eastAsia="宋体" w:cs="宋体"/>
          <w:b/>
          <w:bCs/>
          <w:i w:val="0"/>
          <w:iCs w:val="0"/>
          <w:color w:val="000000"/>
          <w:kern w:val="0"/>
          <w:sz w:val="44"/>
          <w:szCs w:val="44"/>
          <w:u w:val="none"/>
          <w:lang w:val="en-US" w:eastAsia="zh-CN" w:bidi="ar"/>
        </w:rPr>
        <w:t>5kV高粱冲</w:t>
      </w:r>
      <w:r>
        <w:rPr>
          <w:rFonts w:hint="eastAsia" w:ascii="宋体" w:hAnsi="宋体" w:eastAsia="宋体" w:cs="宋体"/>
          <w:b/>
          <w:bCs/>
          <w:color w:val="auto"/>
          <w:sz w:val="44"/>
          <w:szCs w:val="44"/>
          <w:highlight w:val="none"/>
          <w:u w:val="none"/>
          <w:lang w:val="en-US" w:eastAsia="zh-CN"/>
        </w:rPr>
        <w:t>光伏</w:t>
      </w:r>
      <w:r>
        <w:rPr>
          <w:rFonts w:hint="eastAsia" w:ascii="宋体" w:hAnsi="宋体" w:eastAsia="宋体" w:cs="宋体"/>
          <w:b/>
          <w:bCs/>
          <w:i w:val="0"/>
          <w:iCs w:val="0"/>
          <w:color w:val="000000"/>
          <w:kern w:val="0"/>
          <w:sz w:val="44"/>
          <w:szCs w:val="44"/>
          <w:u w:val="none"/>
          <w:lang w:val="en-US" w:eastAsia="zh-CN" w:bidi="ar"/>
        </w:rPr>
        <w:t>调度通信设备</w:t>
      </w:r>
      <w:r>
        <w:rPr>
          <w:rFonts w:hint="eastAsia" w:ascii="宋体" w:hAnsi="宋体" w:eastAsia="宋体" w:cs="宋体"/>
          <w:b/>
          <w:color w:val="auto"/>
          <w:sz w:val="44"/>
          <w:szCs w:val="44"/>
          <w:highlight w:val="none"/>
          <w:lang w:val="zh-CN"/>
        </w:rPr>
        <w:t>采购</w:t>
      </w:r>
      <w:r>
        <w:rPr>
          <w:rFonts w:hint="eastAsia" w:ascii="宋体" w:hAnsi="宋体" w:eastAsia="宋体" w:cs="宋体"/>
          <w:b/>
          <w:color w:val="auto"/>
          <w:sz w:val="44"/>
          <w:szCs w:val="44"/>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21"/>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21"/>
        <w:rPr>
          <w:rFonts w:hint="eastAsia" w:hAnsi="宋体" w:cs="宋体"/>
          <w:b/>
          <w:bCs/>
          <w:color w:val="auto"/>
          <w:sz w:val="32"/>
          <w:szCs w:val="32"/>
          <w:highlight w:val="none"/>
          <w:lang w:val="en-US" w:eastAsia="zh-CN"/>
        </w:rPr>
      </w:pPr>
    </w:p>
    <w:p w14:paraId="2301E828">
      <w:pPr>
        <w:pStyle w:val="21"/>
        <w:rPr>
          <w:rFonts w:hint="eastAsia" w:ascii="宋体" w:hAnsi="宋体" w:eastAsia="宋体" w:cs="宋体"/>
          <w:b/>
          <w:bCs/>
          <w:color w:val="auto"/>
          <w:sz w:val="32"/>
          <w:szCs w:val="32"/>
          <w:highlight w:val="none"/>
        </w:rPr>
      </w:pPr>
    </w:p>
    <w:p w14:paraId="1FFC3A75">
      <w:pPr>
        <w:pStyle w:val="21"/>
        <w:rPr>
          <w:rFonts w:hint="eastAsia" w:ascii="宋体" w:hAnsi="宋体" w:eastAsia="宋体" w:cs="宋体"/>
          <w:b/>
          <w:bCs/>
          <w:color w:val="auto"/>
          <w:sz w:val="32"/>
          <w:szCs w:val="32"/>
          <w:highlight w:val="none"/>
        </w:rPr>
      </w:pPr>
    </w:p>
    <w:p w14:paraId="19CD3ED6">
      <w:pPr>
        <w:pStyle w:val="21"/>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7BA188E1">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1" w:type="first"/>
          <w:headerReference r:id="rId7" w:type="default"/>
          <w:footerReference r:id="rId9" w:type="default"/>
          <w:headerReference r:id="rId8" w:type="even"/>
          <w:footerReference r:id="rId10" w:type="even"/>
          <w:pgSz w:w="11906" w:h="16838"/>
          <w:pgMar w:top="1418" w:right="991" w:bottom="1304" w:left="1418" w:header="851" w:footer="737" w:gutter="0"/>
          <w:pgNumType w:fmt="decimal"/>
          <w:cols w:space="720" w:num="1"/>
          <w:docGrid w:type="lines" w:linePitch="312" w:charSpace="0"/>
        </w:sectPr>
      </w:pPr>
    </w:p>
    <w:p w14:paraId="1FBB81FF">
      <w:pPr>
        <w:pStyle w:val="3"/>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22"/>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i w:val="0"/>
          <w:iCs w:val="0"/>
          <w:color w:val="000000"/>
          <w:kern w:val="0"/>
          <w:sz w:val="24"/>
          <w:szCs w:val="24"/>
          <w:u w:val="single"/>
          <w:lang w:val="en-US" w:eastAsia="zh-CN" w:bidi="ar"/>
        </w:rPr>
        <w:t>5kV高粱冲</w:t>
      </w:r>
      <w:r>
        <w:rPr>
          <w:rFonts w:hint="eastAsia" w:ascii="宋体" w:hAnsi="宋体" w:eastAsia="宋体" w:cs="宋体"/>
          <w:b w:val="0"/>
          <w:bCs w:val="0"/>
          <w:color w:val="auto"/>
          <w:sz w:val="24"/>
          <w:szCs w:val="24"/>
          <w:highlight w:val="none"/>
          <w:u w:val="single"/>
          <w:lang w:val="en-US" w:eastAsia="zh-CN"/>
        </w:rPr>
        <w:t>光伏</w:t>
      </w:r>
      <w:r>
        <w:rPr>
          <w:rFonts w:hint="eastAsia" w:ascii="宋体" w:hAnsi="宋体" w:eastAsia="宋体" w:cs="宋体"/>
          <w:b w:val="0"/>
          <w:bCs w:val="0"/>
          <w:i w:val="0"/>
          <w:iCs w:val="0"/>
          <w:color w:val="000000"/>
          <w:kern w:val="0"/>
          <w:sz w:val="24"/>
          <w:szCs w:val="24"/>
          <w:u w:val="single"/>
          <w:lang w:val="en-US" w:eastAsia="zh-CN" w:bidi="ar"/>
        </w:rPr>
        <w:t>调度通信设备</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5C094BD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w:t>
      </w:r>
      <w:r>
        <w:rPr>
          <w:rFonts w:hint="eastAsia" w:ascii="宋体" w:hAnsi="宋体" w:cs="宋体"/>
          <w:color w:val="auto"/>
          <w:kern w:val="0"/>
          <w:sz w:val="24"/>
          <w:szCs w:val="22"/>
          <w:highlight w:val="none"/>
          <w:lang w:val="en-US" w:eastAsia="zh-CN"/>
        </w:rPr>
        <w:t>总</w:t>
      </w:r>
      <w:r>
        <w:rPr>
          <w:rFonts w:hint="eastAsia" w:ascii="宋体" w:hAnsi="宋体" w:eastAsia="宋体" w:cs="宋体"/>
          <w:color w:val="auto"/>
          <w:kern w:val="0"/>
          <w:sz w:val="24"/>
          <w:szCs w:val="22"/>
          <w:highlight w:val="none"/>
        </w:rPr>
        <w:t>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5526426B">
      <w:pPr>
        <w:pStyle w:val="9"/>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22"/>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4F63A273">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pgNumType w:fmt="decimal"/>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3"/>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15"/>
        <w:tblW w:w="5971" w:type="pct"/>
        <w:tblInd w:w="-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2373"/>
        <w:gridCol w:w="1659"/>
        <w:gridCol w:w="680"/>
        <w:gridCol w:w="670"/>
        <w:gridCol w:w="1540"/>
        <w:gridCol w:w="1490"/>
        <w:gridCol w:w="1000"/>
      </w:tblGrid>
      <w:tr w14:paraId="35A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A5F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名称</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规格型号</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0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2B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数量</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6A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含税单价（元）</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14B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含税合价（元）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0A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6623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6D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一、</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A6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35kV高粱冲光伏调度通信设备</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8CC">
            <w:pPr>
              <w:jc w:val="center"/>
              <w:rPr>
                <w:rFonts w:hint="eastAsia" w:ascii="宋体" w:hAnsi="宋体" w:eastAsia="宋体" w:cs="宋体"/>
                <w:i w:val="0"/>
                <w:iCs w:val="0"/>
                <w:color w:val="auto"/>
                <w:sz w:val="18"/>
                <w:szCs w:val="18"/>
                <w:highlight w:val="none"/>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5987">
            <w:pPr>
              <w:jc w:val="center"/>
              <w:rPr>
                <w:rFonts w:hint="eastAsia" w:ascii="宋体" w:hAnsi="宋体" w:eastAsia="宋体" w:cs="宋体"/>
                <w:i w:val="0"/>
                <w:iCs w:val="0"/>
                <w:color w:val="auto"/>
                <w:sz w:val="18"/>
                <w:szCs w:val="18"/>
                <w:highlight w:val="none"/>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F2A3">
            <w:pPr>
              <w:jc w:val="center"/>
              <w:rPr>
                <w:rFonts w:hint="eastAsia" w:ascii="宋体" w:hAnsi="宋体" w:eastAsia="宋体" w:cs="宋体"/>
                <w:i w:val="0"/>
                <w:iCs w:val="0"/>
                <w:color w:val="auto"/>
                <w:kern w:val="2"/>
                <w:sz w:val="18"/>
                <w:szCs w:val="18"/>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124">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FF38">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E7E">
            <w:pPr>
              <w:jc w:val="center"/>
              <w:rPr>
                <w:rFonts w:hint="eastAsia" w:ascii="宋体" w:hAnsi="宋体" w:eastAsia="宋体" w:cs="宋体"/>
                <w:i w:val="0"/>
                <w:iCs w:val="0"/>
                <w:color w:val="auto"/>
                <w:kern w:val="0"/>
                <w:sz w:val="18"/>
                <w:szCs w:val="18"/>
                <w:highlight w:val="none"/>
                <w:u w:val="none"/>
                <w:lang w:val="en-US" w:eastAsia="zh-CN" w:bidi="ar"/>
              </w:rPr>
            </w:pPr>
          </w:p>
        </w:tc>
      </w:tr>
      <w:tr w14:paraId="6143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C0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432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保底通信网设备：STM-16光传输设备1套包含交叉、二次电源、时钟、公务、告警等基本功能；主要功能如交叉、二次电源等采用1+1配置(交叉能力：≥128×128VC4)；带电源分配单元，光模块8块，电源分配单元1套；</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A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机柜尺寸：2260mm（高）×800mm（宽）×600mm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70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7F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038B">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78E">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6AE">
            <w:pPr>
              <w:jc w:val="center"/>
              <w:rPr>
                <w:rFonts w:hint="eastAsia" w:ascii="宋体" w:hAnsi="宋体" w:eastAsia="宋体" w:cs="宋体"/>
                <w:i w:val="0"/>
                <w:iCs w:val="0"/>
                <w:color w:val="auto"/>
                <w:kern w:val="0"/>
                <w:sz w:val="18"/>
                <w:szCs w:val="18"/>
                <w:highlight w:val="none"/>
                <w:u w:val="none"/>
                <w:lang w:val="en-US" w:eastAsia="zh-CN" w:bidi="ar"/>
              </w:rPr>
            </w:pPr>
          </w:p>
        </w:tc>
      </w:tr>
      <w:tr w14:paraId="1EB3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67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8FF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2M专线通信：纵向加密认证装置1台，业务交换机1台，2M专线路由器1台；</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6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机柜尺寸：2260mm（高）×800mm（宽）×600mm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218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995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276">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1936">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24E">
            <w:pPr>
              <w:jc w:val="center"/>
              <w:rPr>
                <w:rFonts w:hint="eastAsia" w:ascii="宋体" w:hAnsi="宋体" w:eastAsia="宋体" w:cs="宋体"/>
                <w:i w:val="0"/>
                <w:iCs w:val="0"/>
                <w:color w:val="auto"/>
                <w:kern w:val="0"/>
                <w:sz w:val="18"/>
                <w:szCs w:val="18"/>
                <w:highlight w:val="none"/>
                <w:u w:val="none"/>
                <w:lang w:val="en-US" w:eastAsia="zh-CN" w:bidi="ar"/>
              </w:rPr>
            </w:pPr>
          </w:p>
        </w:tc>
      </w:tr>
      <w:tr w14:paraId="7E5D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1B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DA7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语音视频专网设备：2台IP电话（ 1000 小时以上在线录音）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1台语音视频专网交换机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1台电信电话（ 1000 小时以上在线录音）</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0334">
            <w:pPr>
              <w:jc w:val="cente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F6D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8A3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B482">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653F">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DA54">
            <w:pPr>
              <w:jc w:val="center"/>
              <w:rPr>
                <w:rFonts w:hint="eastAsia" w:ascii="宋体" w:hAnsi="宋体" w:eastAsia="宋体" w:cs="宋体"/>
                <w:i w:val="0"/>
                <w:iCs w:val="0"/>
                <w:color w:val="auto"/>
                <w:kern w:val="0"/>
                <w:sz w:val="18"/>
                <w:szCs w:val="18"/>
                <w:highlight w:val="none"/>
                <w:u w:val="none"/>
                <w:lang w:val="en-US" w:eastAsia="zh-CN" w:bidi="ar"/>
              </w:rPr>
            </w:pPr>
          </w:p>
        </w:tc>
      </w:tr>
      <w:tr w14:paraId="0ABE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E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B0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综合配线柜：DDF数字配线架1套，IDF配线架1套，光纤配线架2套（含对侧1套）。</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4D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机柜尺寸：2260mm（高）×800mm（宽）×600mm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9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E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3CF">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065A">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E296">
            <w:pPr>
              <w:jc w:val="center"/>
              <w:rPr>
                <w:rFonts w:hint="eastAsia" w:ascii="宋体" w:hAnsi="宋体" w:eastAsia="宋体" w:cs="宋体"/>
                <w:i w:val="0"/>
                <w:iCs w:val="0"/>
                <w:color w:val="auto"/>
                <w:kern w:val="0"/>
                <w:sz w:val="18"/>
                <w:szCs w:val="18"/>
                <w:highlight w:val="none"/>
                <w:u w:val="none"/>
                <w:lang w:val="en-US" w:eastAsia="zh-CN" w:bidi="ar"/>
              </w:rPr>
            </w:pPr>
          </w:p>
        </w:tc>
      </w:tr>
      <w:tr w14:paraId="0E9C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CC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83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调度数据网络机柜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每面含：路由器1台，纵向加密认证装置1台,交换机2台，防火墙共1台</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机柜尺寸：800(宽)×600(深)×2260(高)mm</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49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47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B9F6">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AB1D">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CF7F">
            <w:pPr>
              <w:jc w:val="center"/>
              <w:rPr>
                <w:rFonts w:hint="eastAsia" w:ascii="宋体" w:hAnsi="宋体" w:eastAsia="宋体" w:cs="宋体"/>
                <w:i w:val="0"/>
                <w:iCs w:val="0"/>
                <w:color w:val="auto"/>
                <w:kern w:val="0"/>
                <w:sz w:val="18"/>
                <w:szCs w:val="18"/>
                <w:highlight w:val="none"/>
                <w:u w:val="none"/>
                <w:lang w:val="en-US" w:eastAsia="zh-CN" w:bidi="ar"/>
              </w:rPr>
            </w:pPr>
          </w:p>
        </w:tc>
      </w:tr>
      <w:tr w14:paraId="2C95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36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调度指挥网络交互系统受令终端设备</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CA9">
            <w:pPr>
              <w:jc w:val="center"/>
              <w:rPr>
                <w:rFonts w:hint="eastAsia" w:ascii="宋体" w:hAnsi="宋体" w:eastAsia="宋体" w:cs="宋体"/>
                <w:i w:val="0"/>
                <w:iCs w:val="0"/>
                <w:color w:val="000000"/>
                <w:kern w:val="0"/>
                <w:sz w:val="18"/>
                <w:szCs w:val="18"/>
                <w:u w:val="none"/>
                <w:lang w:val="en-US" w:eastAsia="zh-CN" w:bidi="ar"/>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B3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26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5EE">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72AA">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CEC8">
            <w:pPr>
              <w:rPr>
                <w:rFonts w:hint="eastAsia" w:ascii="宋体" w:hAnsi="宋体" w:eastAsia="宋体" w:cs="宋体"/>
                <w:i w:val="0"/>
                <w:iCs w:val="0"/>
                <w:color w:val="auto"/>
                <w:kern w:val="0"/>
                <w:sz w:val="18"/>
                <w:szCs w:val="18"/>
                <w:highlight w:val="none"/>
                <w:u w:val="none"/>
                <w:lang w:val="en-US" w:eastAsia="zh-CN" w:bidi="ar"/>
              </w:rPr>
            </w:pPr>
          </w:p>
        </w:tc>
      </w:tr>
      <w:tr w14:paraId="572D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A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3A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29"/>
                <w:rFonts w:hint="eastAsia" w:ascii="宋体" w:hAnsi="宋体" w:eastAsia="宋体" w:cs="宋体"/>
                <w:sz w:val="24"/>
                <w:szCs w:val="24"/>
                <w:lang w:val="en-US" w:eastAsia="zh-CN" w:bidi="ar"/>
              </w:rPr>
              <w:t>二次安防柜</w:t>
            </w:r>
            <w:r>
              <w:rPr>
                <w:rStyle w:val="30"/>
                <w:rFonts w:hint="eastAsia" w:ascii="宋体" w:hAnsi="宋体" w:eastAsia="宋体" w:cs="宋体"/>
                <w:sz w:val="24"/>
                <w:szCs w:val="24"/>
                <w:lang w:val="en-US" w:eastAsia="zh-CN" w:bidi="ar"/>
              </w:rPr>
              <w:t xml:space="preserve"> </w:t>
            </w:r>
            <w:r>
              <w:rPr>
                <w:rStyle w:val="29"/>
                <w:rFonts w:hint="eastAsia" w:ascii="宋体" w:hAnsi="宋体" w:eastAsia="宋体" w:cs="宋体"/>
                <w:sz w:val="24"/>
                <w:szCs w:val="24"/>
                <w:lang w:val="en-US" w:eastAsia="zh-CN" w:bidi="ar"/>
              </w:rPr>
              <w:t>配置安全态势感知终端</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套、日志审计平台设备</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套、入侵检测系统（</w:t>
            </w:r>
            <w:r>
              <w:rPr>
                <w:rStyle w:val="30"/>
                <w:rFonts w:hint="eastAsia" w:ascii="宋体" w:hAnsi="宋体" w:eastAsia="宋体" w:cs="宋体"/>
                <w:sz w:val="24"/>
                <w:szCs w:val="24"/>
                <w:lang w:val="en-US" w:eastAsia="zh-CN" w:bidi="ar"/>
              </w:rPr>
              <w:t>IDS</w:t>
            </w:r>
            <w:r>
              <w:rPr>
                <w:rStyle w:val="29"/>
                <w:rFonts w:hint="eastAsia" w:ascii="宋体" w:hAnsi="宋体" w:eastAsia="宋体" w:cs="宋体"/>
                <w:sz w:val="24"/>
                <w:szCs w:val="24"/>
                <w:lang w:val="en-US" w:eastAsia="zh-CN" w:bidi="ar"/>
              </w:rPr>
              <w:t>）设备</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套、运维堡垒机</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套，主机加固系统</w:t>
            </w:r>
            <w:r>
              <w:rPr>
                <w:rStyle w:val="30"/>
                <w:rFonts w:hint="eastAsia" w:ascii="宋体" w:hAnsi="宋体" w:eastAsia="宋体" w:cs="宋体"/>
                <w:sz w:val="24"/>
                <w:szCs w:val="24"/>
                <w:lang w:val="en-US" w:eastAsia="zh-CN" w:bidi="ar"/>
              </w:rPr>
              <w:t>1</w:t>
            </w:r>
            <w:r>
              <w:rPr>
                <w:rStyle w:val="29"/>
                <w:rFonts w:hint="eastAsia" w:ascii="宋体" w:hAnsi="宋体" w:eastAsia="宋体" w:cs="宋体"/>
                <w:sz w:val="24"/>
                <w:szCs w:val="24"/>
                <w:lang w:val="en-US" w:eastAsia="zh-CN" w:bidi="ar"/>
              </w:rPr>
              <w:t>套</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0AAA">
            <w:pPr>
              <w:jc w:val="center"/>
              <w:rPr>
                <w:rFonts w:hint="eastAsia" w:ascii="宋体" w:hAnsi="宋体" w:eastAsia="宋体" w:cs="宋体"/>
                <w:i w:val="0"/>
                <w:iCs w:val="0"/>
                <w:color w:val="000000"/>
                <w:kern w:val="0"/>
                <w:sz w:val="18"/>
                <w:szCs w:val="18"/>
                <w:u w:val="none"/>
                <w:lang w:val="en-US" w:eastAsia="zh-CN" w:bidi="ar"/>
              </w:rPr>
            </w:pPr>
            <w:r>
              <w:rPr>
                <w:rStyle w:val="30"/>
                <w:rFonts w:hint="eastAsia" w:ascii="宋体" w:hAnsi="宋体" w:eastAsia="宋体" w:cs="宋体"/>
                <w:sz w:val="24"/>
                <w:szCs w:val="24"/>
                <w:lang w:val="en-US" w:eastAsia="zh-CN" w:bidi="ar"/>
              </w:rPr>
              <w:t>800(</w:t>
            </w:r>
            <w:r>
              <w:rPr>
                <w:rStyle w:val="29"/>
                <w:rFonts w:hint="eastAsia" w:ascii="宋体" w:hAnsi="宋体" w:eastAsia="宋体" w:cs="宋体"/>
                <w:sz w:val="24"/>
                <w:szCs w:val="24"/>
                <w:lang w:val="en-US" w:eastAsia="zh-CN" w:bidi="ar"/>
              </w:rPr>
              <w:t>宽</w:t>
            </w:r>
            <w:r>
              <w:rPr>
                <w:rStyle w:val="30"/>
                <w:rFonts w:hint="eastAsia" w:ascii="宋体" w:hAnsi="宋体" w:eastAsia="宋体" w:cs="宋体"/>
                <w:sz w:val="24"/>
                <w:szCs w:val="24"/>
                <w:lang w:val="en-US" w:eastAsia="zh-CN" w:bidi="ar"/>
              </w:rPr>
              <w:t>)×600(</w:t>
            </w:r>
            <w:r>
              <w:rPr>
                <w:rStyle w:val="29"/>
                <w:rFonts w:hint="eastAsia" w:ascii="宋体" w:hAnsi="宋体" w:eastAsia="宋体" w:cs="宋体"/>
                <w:sz w:val="24"/>
                <w:szCs w:val="24"/>
                <w:lang w:val="en-US" w:eastAsia="zh-CN" w:bidi="ar"/>
              </w:rPr>
              <w:t>深</w:t>
            </w:r>
            <w:r>
              <w:rPr>
                <w:rStyle w:val="30"/>
                <w:rFonts w:hint="eastAsia" w:ascii="宋体" w:hAnsi="宋体" w:eastAsia="宋体" w:cs="宋体"/>
                <w:sz w:val="24"/>
                <w:szCs w:val="24"/>
                <w:lang w:val="en-US" w:eastAsia="zh-CN" w:bidi="ar"/>
              </w:rPr>
              <w:t>)×2260(</w:t>
            </w:r>
            <w:r>
              <w:rPr>
                <w:rStyle w:val="29"/>
                <w:rFonts w:hint="eastAsia" w:ascii="宋体" w:hAnsi="宋体" w:eastAsia="宋体" w:cs="宋体"/>
                <w:sz w:val="24"/>
                <w:szCs w:val="24"/>
                <w:lang w:val="en-US" w:eastAsia="zh-CN" w:bidi="ar"/>
              </w:rPr>
              <w:t>高</w:t>
            </w:r>
            <w:r>
              <w:rPr>
                <w:rStyle w:val="30"/>
                <w:rFonts w:hint="eastAsia" w:ascii="宋体" w:hAnsi="宋体" w:eastAsia="宋体" w:cs="宋体"/>
                <w:sz w:val="24"/>
                <w:szCs w:val="24"/>
                <w:lang w:val="en-US" w:eastAsia="zh-CN" w:bidi="ar"/>
              </w:rPr>
              <w:t>)mm</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5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50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E2B6">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17CD">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5E34">
            <w:pPr>
              <w:rPr>
                <w:rFonts w:hint="eastAsia" w:ascii="宋体" w:hAnsi="宋体" w:eastAsia="宋体" w:cs="宋体"/>
                <w:i w:val="0"/>
                <w:iCs w:val="0"/>
                <w:color w:val="auto"/>
                <w:kern w:val="0"/>
                <w:sz w:val="18"/>
                <w:szCs w:val="18"/>
                <w:highlight w:val="none"/>
                <w:u w:val="none"/>
                <w:lang w:val="en-US" w:eastAsia="zh-CN" w:bidi="ar"/>
              </w:rPr>
            </w:pPr>
          </w:p>
        </w:tc>
      </w:tr>
      <w:tr w14:paraId="13D6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79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18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电力监控系统安全防护评估及信息安全等级保护测评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0FA2">
            <w:pPr>
              <w:jc w:val="center"/>
              <w:rPr>
                <w:rFonts w:hint="eastAsia" w:ascii="宋体" w:hAnsi="宋体" w:eastAsia="宋体" w:cs="宋体"/>
                <w:i w:val="0"/>
                <w:iCs w:val="0"/>
                <w:color w:val="000000"/>
                <w:kern w:val="0"/>
                <w:sz w:val="18"/>
                <w:szCs w:val="18"/>
                <w:u w:val="none"/>
                <w:lang w:val="en-US" w:eastAsia="zh-CN" w:bidi="ar"/>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1E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4C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846B">
            <w:pPr>
              <w:jc w:val="center"/>
              <w:rPr>
                <w:rFonts w:hint="eastAsia" w:ascii="宋体" w:hAnsi="宋体" w:eastAsia="宋体" w:cs="宋体"/>
                <w:color w:val="auto"/>
                <w:kern w:val="0"/>
                <w:sz w:val="18"/>
                <w:szCs w:val="18"/>
                <w:highlight w:val="none"/>
                <w:u w:val="none"/>
                <w:lang w:bidi="ar"/>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A419">
            <w:pPr>
              <w:jc w:val="center"/>
              <w:rPr>
                <w:rFonts w:hint="eastAsia" w:ascii="宋体" w:hAnsi="宋体" w:eastAsia="宋体" w:cs="宋体"/>
                <w:color w:val="auto"/>
                <w:kern w:val="0"/>
                <w:sz w:val="18"/>
                <w:szCs w:val="18"/>
                <w:highlight w:val="none"/>
                <w:u w:val="none"/>
                <w:lang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A151">
            <w:pPr>
              <w:rPr>
                <w:rFonts w:hint="eastAsia" w:ascii="宋体" w:hAnsi="宋体" w:eastAsia="宋体" w:cs="宋体"/>
                <w:i w:val="0"/>
                <w:iCs w:val="0"/>
                <w:color w:val="auto"/>
                <w:kern w:val="0"/>
                <w:sz w:val="18"/>
                <w:szCs w:val="18"/>
                <w:highlight w:val="none"/>
                <w:u w:val="none"/>
                <w:lang w:val="en-US" w:eastAsia="zh-CN" w:bidi="ar"/>
              </w:rPr>
            </w:pPr>
          </w:p>
        </w:tc>
      </w:tr>
    </w:tbl>
    <w:p w14:paraId="342E043C">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（3）施工期间，价格不因物价波动而调整。</w:t>
      </w:r>
    </w:p>
    <w:p w14:paraId="7B673159">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54" w:name="_Toc3328_WPSOffice_Level2"/>
      <w:bookmarkStart w:id="55" w:name="_Toc15750_WPSOffice_Level2"/>
      <w:bookmarkStart w:id="56" w:name="_Toc6126_WPSOffice_Level2"/>
    </w:p>
    <w:p w14:paraId="1B464F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54"/>
      <w:bookmarkEnd w:id="55"/>
      <w:bookmarkEnd w:id="56"/>
    </w:p>
    <w:p w14:paraId="7E36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D003A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bookmarkStart w:id="57" w:name="_Toc9260"/>
      <w:bookmarkStart w:id="58" w:name="_Toc9382"/>
      <w:r>
        <w:rPr>
          <w:rFonts w:hint="eastAsia" w:ascii="宋体" w:hAnsi="宋体" w:eastAsia="宋体" w:cs="宋体"/>
          <w:b/>
          <w:bCs/>
          <w:color w:val="auto"/>
          <w:sz w:val="32"/>
          <w:szCs w:val="32"/>
          <w:highlight w:val="none"/>
          <w:lang w:val="en-US" w:eastAsia="zh-CN"/>
        </w:rPr>
        <w:br w:type="page"/>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57"/>
      <w:bookmarkEnd w:id="58"/>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11"/>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11"/>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11"/>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11"/>
      <w:jc w:val="center"/>
    </w:pPr>
    <w:r>
      <w:fldChar w:fldCharType="begin"/>
    </w:r>
    <w:r>
      <w:rPr>
        <w:rStyle w:val="18"/>
      </w:rPr>
      <w:instrText xml:space="preserve"> PAGE </w:instrText>
    </w:r>
    <w:r>
      <w:fldChar w:fldCharType="separate"/>
    </w:r>
    <w:r>
      <w:rPr>
        <w:rStyle w:val="18"/>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1312;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E5A1">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80E5A1">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12"/>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12"/>
      <w:pBdr>
        <w:bottom w:val="single" w:color="auto" w:sz="6" w:space="6"/>
      </w:pBdr>
      <w:jc w:val="left"/>
      <w:rPr>
        <w:rFonts w:ascii="黑体" w:eastAsia="黑体"/>
      </w:rPr>
    </w:pPr>
    <w: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0288;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9F091"/>
    <w:multiLevelType w:val="singleLevel"/>
    <w:tmpl w:val="AC79F091"/>
    <w:lvl w:ilvl="0" w:tentative="0">
      <w:start w:val="2"/>
      <w:numFmt w:val="chineseCounting"/>
      <w:suff w:val="nothing"/>
      <w:lvlText w:val="%1、"/>
      <w:lvlJc w:val="left"/>
      <w:rPr>
        <w:rFonts w:hint="eastAsia"/>
      </w:rPr>
    </w:lvl>
  </w:abstractNum>
  <w:abstractNum w:abstractNumId="1">
    <w:nsid w:val="BA96F429"/>
    <w:multiLevelType w:val="singleLevel"/>
    <w:tmpl w:val="BA96F429"/>
    <w:lvl w:ilvl="0" w:tentative="0">
      <w:start w:val="1"/>
      <w:numFmt w:val="decimal"/>
      <w:lvlText w:val="(%1)"/>
      <w:lvlJc w:val="left"/>
      <w:pPr>
        <w:ind w:left="425" w:hanging="425"/>
      </w:pPr>
      <w:rPr>
        <w:rFonts w:hint="default"/>
      </w:rPr>
    </w:lvl>
  </w:abstractNum>
  <w:abstractNum w:abstractNumId="2">
    <w:nsid w:val="294D34C4"/>
    <w:multiLevelType w:val="multilevel"/>
    <w:tmpl w:val="294D34C4"/>
    <w:lvl w:ilvl="0" w:tentative="0">
      <w:start w:val="1"/>
      <w:numFmt w:val="chineseCountingThousand"/>
      <w:pStyle w:val="2"/>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3"/>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3">
    <w:nsid w:val="335A2E96"/>
    <w:multiLevelType w:val="multilevel"/>
    <w:tmpl w:val="335A2E9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33F747B5"/>
    <w:multiLevelType w:val="multilevel"/>
    <w:tmpl w:val="33F747B5"/>
    <w:lvl w:ilvl="0" w:tentative="0">
      <w:start w:val="1"/>
      <w:numFmt w:val="decimal"/>
      <w:lvlText w:val="(%1)"/>
      <w:lvlJc w:val="left"/>
      <w:pPr>
        <w:ind w:left="2053" w:hanging="593"/>
      </w:pPr>
      <w:rPr>
        <w:rFonts w:hint="default"/>
        <w:b w:val="0"/>
        <w:color w:val="auto"/>
        <w:u w:val="none"/>
      </w:rPr>
    </w:lvl>
    <w:lvl w:ilvl="1" w:tentative="0">
      <w:start w:val="1"/>
      <w:numFmt w:val="lowerLetter"/>
      <w:lvlText w:val="%2)"/>
      <w:lvlJc w:val="left"/>
      <w:pPr>
        <w:ind w:left="373" w:hanging="420"/>
      </w:pPr>
    </w:lvl>
    <w:lvl w:ilvl="2" w:tentative="0">
      <w:start w:val="1"/>
      <w:numFmt w:val="lowerRoman"/>
      <w:lvlText w:val="%3."/>
      <w:lvlJc w:val="right"/>
      <w:pPr>
        <w:ind w:left="793" w:hanging="420"/>
      </w:pPr>
    </w:lvl>
    <w:lvl w:ilvl="3" w:tentative="0">
      <w:start w:val="1"/>
      <w:numFmt w:val="decimal"/>
      <w:lvlText w:val="%4."/>
      <w:lvlJc w:val="left"/>
      <w:pPr>
        <w:ind w:left="1213" w:hanging="420"/>
      </w:pPr>
    </w:lvl>
    <w:lvl w:ilvl="4" w:tentative="0">
      <w:start w:val="1"/>
      <w:numFmt w:val="lowerLetter"/>
      <w:lvlText w:val="%5)"/>
      <w:lvlJc w:val="left"/>
      <w:pPr>
        <w:ind w:left="1633" w:hanging="420"/>
      </w:pPr>
    </w:lvl>
    <w:lvl w:ilvl="5" w:tentative="0">
      <w:start w:val="1"/>
      <w:numFmt w:val="lowerRoman"/>
      <w:lvlText w:val="%6."/>
      <w:lvlJc w:val="right"/>
      <w:pPr>
        <w:ind w:left="2053" w:hanging="420"/>
      </w:pPr>
    </w:lvl>
    <w:lvl w:ilvl="6" w:tentative="0">
      <w:start w:val="1"/>
      <w:numFmt w:val="decimal"/>
      <w:lvlText w:val="%7."/>
      <w:lvlJc w:val="left"/>
      <w:pPr>
        <w:ind w:left="2473" w:hanging="420"/>
      </w:pPr>
    </w:lvl>
    <w:lvl w:ilvl="7" w:tentative="0">
      <w:start w:val="1"/>
      <w:numFmt w:val="lowerLetter"/>
      <w:lvlText w:val="%8)"/>
      <w:lvlJc w:val="left"/>
      <w:pPr>
        <w:ind w:left="2893" w:hanging="420"/>
      </w:pPr>
    </w:lvl>
    <w:lvl w:ilvl="8" w:tentative="0">
      <w:start w:val="1"/>
      <w:numFmt w:val="lowerRoman"/>
      <w:lvlText w:val="%9."/>
      <w:lvlJc w:val="right"/>
      <w:pPr>
        <w:ind w:left="3313" w:hanging="420"/>
      </w:pPr>
    </w:lvl>
  </w:abstractNum>
  <w:abstractNum w:abstractNumId="5">
    <w:nsid w:val="49260CE0"/>
    <w:multiLevelType w:val="multilevel"/>
    <w:tmpl w:val="49260CE0"/>
    <w:lvl w:ilvl="0" w:tentative="0">
      <w:start w:val="1"/>
      <w:numFmt w:val="decimal"/>
      <w:lvlText w:val="(%1)"/>
      <w:lvlJc w:val="left"/>
      <w:pPr>
        <w:ind w:left="1018" w:hanging="593"/>
      </w:pPr>
      <w:rPr>
        <w:rFonts w:hint="default"/>
        <w:b w:val="0"/>
        <w:color w:val="auto"/>
        <w:u w:val="none"/>
      </w:rPr>
    </w:lvl>
    <w:lvl w:ilvl="1" w:tentative="0">
      <w:start w:val="1"/>
      <w:numFmt w:val="lowerLetter"/>
      <w:lvlText w:val="%2)"/>
      <w:lvlJc w:val="left"/>
      <w:pPr>
        <w:ind w:left="-662" w:hanging="420"/>
      </w:pPr>
    </w:lvl>
    <w:lvl w:ilvl="2" w:tentative="0">
      <w:start w:val="1"/>
      <w:numFmt w:val="lowerRoman"/>
      <w:lvlText w:val="%3."/>
      <w:lvlJc w:val="right"/>
      <w:pPr>
        <w:ind w:left="-242" w:hanging="420"/>
      </w:pPr>
    </w:lvl>
    <w:lvl w:ilvl="3" w:tentative="0">
      <w:start w:val="1"/>
      <w:numFmt w:val="decimal"/>
      <w:lvlText w:val="%4."/>
      <w:lvlJc w:val="left"/>
      <w:pPr>
        <w:ind w:left="178" w:hanging="420"/>
      </w:pPr>
    </w:lvl>
    <w:lvl w:ilvl="4" w:tentative="0">
      <w:start w:val="1"/>
      <w:numFmt w:val="lowerLetter"/>
      <w:lvlText w:val="%5)"/>
      <w:lvlJc w:val="left"/>
      <w:pPr>
        <w:ind w:left="598" w:hanging="420"/>
      </w:pPr>
    </w:lvl>
    <w:lvl w:ilvl="5" w:tentative="0">
      <w:start w:val="1"/>
      <w:numFmt w:val="lowerRoman"/>
      <w:lvlText w:val="%6."/>
      <w:lvlJc w:val="right"/>
      <w:pPr>
        <w:ind w:left="1018" w:hanging="420"/>
      </w:pPr>
    </w:lvl>
    <w:lvl w:ilvl="6" w:tentative="0">
      <w:start w:val="1"/>
      <w:numFmt w:val="decimal"/>
      <w:lvlText w:val="%7."/>
      <w:lvlJc w:val="left"/>
      <w:pPr>
        <w:ind w:left="1438" w:hanging="420"/>
      </w:pPr>
    </w:lvl>
    <w:lvl w:ilvl="7" w:tentative="0">
      <w:start w:val="1"/>
      <w:numFmt w:val="lowerLetter"/>
      <w:lvlText w:val="%8)"/>
      <w:lvlJc w:val="left"/>
      <w:pPr>
        <w:ind w:left="1858" w:hanging="420"/>
      </w:pPr>
    </w:lvl>
    <w:lvl w:ilvl="8" w:tentative="0">
      <w:start w:val="1"/>
      <w:numFmt w:val="lowerRoman"/>
      <w:lvlText w:val="%9."/>
      <w:lvlJc w:val="right"/>
      <w:pPr>
        <w:ind w:left="2278" w:hanging="420"/>
      </w:pPr>
    </w:lvl>
  </w:abstractNum>
  <w:abstractNum w:abstractNumId="6">
    <w:nsid w:val="4CDBEB20"/>
    <w:multiLevelType w:val="singleLevel"/>
    <w:tmpl w:val="4CDBEB20"/>
    <w:lvl w:ilvl="0" w:tentative="0">
      <w:start w:val="2"/>
      <w:numFmt w:val="decimal"/>
      <w:suff w:val="nothing"/>
      <w:lvlText w:val="%1、"/>
      <w:lvlJc w:val="left"/>
    </w:lvl>
  </w:abstractNum>
  <w:abstractNum w:abstractNumId="7">
    <w:nsid w:val="61B22DC1"/>
    <w:multiLevelType w:val="multilevel"/>
    <w:tmpl w:val="61B22DC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689914E9"/>
    <w:multiLevelType w:val="multilevel"/>
    <w:tmpl w:val="689914E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6"/>
  </w:num>
  <w:num w:numId="3">
    <w:abstractNumId w:val="0"/>
  </w:num>
  <w:num w:numId="4">
    <w:abstractNumId w:val="7"/>
  </w:num>
  <w:num w:numId="5">
    <w:abstractNumId w:val="8"/>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3071B63"/>
    <w:rsid w:val="03193C00"/>
    <w:rsid w:val="04253313"/>
    <w:rsid w:val="05CF213D"/>
    <w:rsid w:val="062063B3"/>
    <w:rsid w:val="078774B5"/>
    <w:rsid w:val="082D256A"/>
    <w:rsid w:val="084C279D"/>
    <w:rsid w:val="09060B0B"/>
    <w:rsid w:val="0A214229"/>
    <w:rsid w:val="0AE22B82"/>
    <w:rsid w:val="0BC11400"/>
    <w:rsid w:val="0D1F3B45"/>
    <w:rsid w:val="0DDD575A"/>
    <w:rsid w:val="0F3D0D81"/>
    <w:rsid w:val="0F9A165D"/>
    <w:rsid w:val="112226B1"/>
    <w:rsid w:val="115674EB"/>
    <w:rsid w:val="11B22984"/>
    <w:rsid w:val="12135469"/>
    <w:rsid w:val="12A702B4"/>
    <w:rsid w:val="1399594D"/>
    <w:rsid w:val="143376FC"/>
    <w:rsid w:val="15206266"/>
    <w:rsid w:val="15990F61"/>
    <w:rsid w:val="168D7438"/>
    <w:rsid w:val="169A3A63"/>
    <w:rsid w:val="1772535D"/>
    <w:rsid w:val="177607DB"/>
    <w:rsid w:val="179B495E"/>
    <w:rsid w:val="198A6ADB"/>
    <w:rsid w:val="199B6790"/>
    <w:rsid w:val="19AC242B"/>
    <w:rsid w:val="1B141CFF"/>
    <w:rsid w:val="1BF00D78"/>
    <w:rsid w:val="1C086A7B"/>
    <w:rsid w:val="1C7D00AF"/>
    <w:rsid w:val="1CF63287"/>
    <w:rsid w:val="1DA653E3"/>
    <w:rsid w:val="1EC845BE"/>
    <w:rsid w:val="1F0C57EE"/>
    <w:rsid w:val="1F655A21"/>
    <w:rsid w:val="20024341"/>
    <w:rsid w:val="229F1850"/>
    <w:rsid w:val="23690370"/>
    <w:rsid w:val="23D27D04"/>
    <w:rsid w:val="2678382B"/>
    <w:rsid w:val="268D1DEC"/>
    <w:rsid w:val="269B7AAF"/>
    <w:rsid w:val="26A51A6C"/>
    <w:rsid w:val="26A80DE0"/>
    <w:rsid w:val="26BA04C7"/>
    <w:rsid w:val="277F74CF"/>
    <w:rsid w:val="279F352E"/>
    <w:rsid w:val="29B80978"/>
    <w:rsid w:val="2A271974"/>
    <w:rsid w:val="2B1B525F"/>
    <w:rsid w:val="2B67772B"/>
    <w:rsid w:val="2B9354BE"/>
    <w:rsid w:val="2C34652A"/>
    <w:rsid w:val="2CA607CC"/>
    <w:rsid w:val="2D2D1B82"/>
    <w:rsid w:val="2D9514CC"/>
    <w:rsid w:val="2E204D3E"/>
    <w:rsid w:val="2EAC14DA"/>
    <w:rsid w:val="2ED2163D"/>
    <w:rsid w:val="305B6947"/>
    <w:rsid w:val="30D85774"/>
    <w:rsid w:val="31A96B20"/>
    <w:rsid w:val="320A3941"/>
    <w:rsid w:val="34363D54"/>
    <w:rsid w:val="354C5C15"/>
    <w:rsid w:val="368E4F3A"/>
    <w:rsid w:val="374223EF"/>
    <w:rsid w:val="37836779"/>
    <w:rsid w:val="37915DB0"/>
    <w:rsid w:val="38583252"/>
    <w:rsid w:val="387865A5"/>
    <w:rsid w:val="3A042590"/>
    <w:rsid w:val="3B7F74D9"/>
    <w:rsid w:val="3C1300E4"/>
    <w:rsid w:val="3D1024B8"/>
    <w:rsid w:val="3D4564DA"/>
    <w:rsid w:val="3E586C14"/>
    <w:rsid w:val="4089175E"/>
    <w:rsid w:val="412055D7"/>
    <w:rsid w:val="41370777"/>
    <w:rsid w:val="417860EB"/>
    <w:rsid w:val="42210D0C"/>
    <w:rsid w:val="42405918"/>
    <w:rsid w:val="430020BB"/>
    <w:rsid w:val="44AB1E74"/>
    <w:rsid w:val="44FB62F2"/>
    <w:rsid w:val="45523D90"/>
    <w:rsid w:val="46DA42D1"/>
    <w:rsid w:val="47174AD8"/>
    <w:rsid w:val="47C473CB"/>
    <w:rsid w:val="485C33AF"/>
    <w:rsid w:val="485F7DEC"/>
    <w:rsid w:val="49065433"/>
    <w:rsid w:val="493F7D0D"/>
    <w:rsid w:val="4A744C3C"/>
    <w:rsid w:val="4A7667FF"/>
    <w:rsid w:val="4AB540FE"/>
    <w:rsid w:val="4C2A24B6"/>
    <w:rsid w:val="4D670E74"/>
    <w:rsid w:val="4EAF1A9A"/>
    <w:rsid w:val="4FD813F4"/>
    <w:rsid w:val="503D7853"/>
    <w:rsid w:val="506230F3"/>
    <w:rsid w:val="513B16B5"/>
    <w:rsid w:val="527C6137"/>
    <w:rsid w:val="52B839CF"/>
    <w:rsid w:val="52CD1B0B"/>
    <w:rsid w:val="53AE6D3E"/>
    <w:rsid w:val="54554510"/>
    <w:rsid w:val="54720817"/>
    <w:rsid w:val="553D666E"/>
    <w:rsid w:val="55BD5DBD"/>
    <w:rsid w:val="57ED0C5F"/>
    <w:rsid w:val="5873640C"/>
    <w:rsid w:val="5B9E711E"/>
    <w:rsid w:val="5C904968"/>
    <w:rsid w:val="5D0D4FF2"/>
    <w:rsid w:val="5D236F0C"/>
    <w:rsid w:val="5D4D7F22"/>
    <w:rsid w:val="5D5C14D4"/>
    <w:rsid w:val="5E040755"/>
    <w:rsid w:val="600F326F"/>
    <w:rsid w:val="60FD5117"/>
    <w:rsid w:val="61437022"/>
    <w:rsid w:val="61AD42AD"/>
    <w:rsid w:val="62654F8F"/>
    <w:rsid w:val="631A0FF0"/>
    <w:rsid w:val="6532437E"/>
    <w:rsid w:val="6640253F"/>
    <w:rsid w:val="669F6208"/>
    <w:rsid w:val="677E0081"/>
    <w:rsid w:val="69025600"/>
    <w:rsid w:val="69A54623"/>
    <w:rsid w:val="69D406F1"/>
    <w:rsid w:val="6CEC3E39"/>
    <w:rsid w:val="6CFA0CEE"/>
    <w:rsid w:val="6D0442D2"/>
    <w:rsid w:val="6D42578B"/>
    <w:rsid w:val="6DF40E20"/>
    <w:rsid w:val="6E1B0B21"/>
    <w:rsid w:val="6FE66282"/>
    <w:rsid w:val="700D18A1"/>
    <w:rsid w:val="72176FE3"/>
    <w:rsid w:val="72F22134"/>
    <w:rsid w:val="74643B18"/>
    <w:rsid w:val="75912D70"/>
    <w:rsid w:val="768F0EA0"/>
    <w:rsid w:val="77EC2D6C"/>
    <w:rsid w:val="78372D2A"/>
    <w:rsid w:val="79A342E9"/>
    <w:rsid w:val="7A126933"/>
    <w:rsid w:val="7B677639"/>
    <w:rsid w:val="7D1B0177"/>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tabs>
        <w:tab w:val="left" w:pos="6379"/>
      </w:tabs>
      <w:snapToGrid w:val="0"/>
      <w:spacing w:before="120"/>
      <w:ind w:firstLine="520"/>
    </w:pPr>
    <w:rPr>
      <w:sz w:val="24"/>
    </w:rPr>
  </w:style>
  <w:style w:type="paragraph" w:styleId="6">
    <w:name w:val="Block Text"/>
    <w:basedOn w:val="1"/>
    <w:qFormat/>
    <w:uiPriority w:val="0"/>
    <w:pPr>
      <w:spacing w:after="120"/>
      <w:ind w:left="1440" w:right="1440" w:firstLine="0" w:firstLineChars="0"/>
      <w:jc w:val="both"/>
    </w:pPr>
    <w:rPr>
      <w:rFonts w:ascii="Calibri" w:hAnsi="Calibri"/>
      <w:sz w:val="24"/>
    </w:rPr>
  </w:style>
  <w:style w:type="paragraph" w:styleId="7">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8">
    <w:name w:val="Plain Text"/>
    <w:basedOn w:val="1"/>
    <w:qFormat/>
    <w:uiPriority w:val="0"/>
    <w:pPr>
      <w:adjustRightInd/>
      <w:spacing w:line="240" w:lineRule="auto"/>
      <w:textAlignment w:val="auto"/>
    </w:pPr>
    <w:rPr>
      <w:rFonts w:ascii="宋体" w:hAnsi="Courier New"/>
      <w:kern w:val="2"/>
      <w:sz w:val="24"/>
    </w:rPr>
  </w:style>
  <w:style w:type="paragraph" w:styleId="9">
    <w:name w:val="Body Text Indent 2"/>
    <w:basedOn w:val="1"/>
    <w:qFormat/>
    <w:uiPriority w:val="0"/>
    <w:pPr>
      <w:spacing w:after="120" w:line="480" w:lineRule="auto"/>
      <w:ind w:left="420" w:leftChars="200"/>
    </w:pPr>
  </w:style>
  <w:style w:type="paragraph" w:styleId="10">
    <w:name w:val="Balloon Text"/>
    <w:basedOn w:val="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14">
    <w:name w:val="Body Text First Indent"/>
    <w:basedOn w:val="4"/>
    <w:autoRedefine/>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Hyperlink"/>
    <w:qFormat/>
    <w:uiPriority w:val="99"/>
    <w:rPr>
      <w:rFonts w:cs="Times New Roman"/>
      <w:color w:val="0000FF"/>
      <w:u w:val="single"/>
    </w:rPr>
  </w:style>
  <w:style w:type="paragraph" w:customStyle="1" w:styleId="20">
    <w:name w:val="正文 2"/>
    <w:basedOn w:val="1"/>
    <w:qFormat/>
    <w:uiPriority w:val="0"/>
    <w:pPr>
      <w:spacing w:line="360" w:lineRule="auto"/>
      <w:ind w:firstLine="200" w:firstLineChars="200"/>
      <w:jc w:val="left"/>
    </w:pPr>
    <w:rPr>
      <w:rFonts w:ascii="宋体" w:hAnsi="宋体"/>
      <w:sz w:val="24"/>
      <w:szCs w:val="3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正文 0"/>
    <w:basedOn w:val="20"/>
    <w:qFormat/>
    <w:uiPriority w:val="0"/>
    <w:pPr>
      <w:ind w:firstLine="0" w:firstLineChars="0"/>
    </w:pPr>
  </w:style>
  <w:style w:type="paragraph" w:customStyle="1" w:styleId="23">
    <w:name w:val="标书6-正文 Char"/>
    <w:basedOn w:val="1"/>
    <w:qFormat/>
    <w:uiPriority w:val="0"/>
    <w:pPr>
      <w:tabs>
        <w:tab w:val="left" w:pos="420"/>
      </w:tabs>
      <w:ind w:firstLine="482" w:firstLineChars="0"/>
    </w:pPr>
    <w:rPr>
      <w:kern w:val="0"/>
      <w:szCs w:val="20"/>
    </w:rPr>
  </w:style>
  <w:style w:type="paragraph" w:customStyle="1" w:styleId="24">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5">
    <w:name w:val="1.1.1.1"/>
    <w:basedOn w:val="1"/>
    <w:qFormat/>
    <w:uiPriority w:val="0"/>
    <w:pPr>
      <w:tabs>
        <w:tab w:val="left" w:pos="1134"/>
      </w:tabs>
      <w:adjustRightInd w:val="0"/>
      <w:spacing w:before="60" w:after="60" w:line="360" w:lineRule="atLeast"/>
      <w:ind w:left="1134" w:hanging="1134" w:firstLineChars="0"/>
      <w:textAlignment w:val="baseline"/>
    </w:pPr>
    <w:rPr>
      <w:rFonts w:ascii="Arial" w:hAnsi="Arial"/>
      <w:kern w:val="0"/>
      <w:szCs w:val="20"/>
    </w:rPr>
  </w:style>
  <w:style w:type="paragraph" w:customStyle="1" w:styleId="26">
    <w:name w:val="正文格式"/>
    <w:basedOn w:val="1"/>
    <w:qFormat/>
    <w:uiPriority w:val="0"/>
    <w:pPr>
      <w:topLinePunct/>
      <w:ind w:firstLine="420"/>
    </w:pPr>
    <w:rPr>
      <w:rFonts w:ascii="宋体" w:hAnsi="宋体"/>
      <w:bCs/>
    </w:rPr>
  </w:style>
  <w:style w:type="paragraph" w:customStyle="1" w:styleId="27">
    <w:name w:val="样式 样式 标题 2 + 段前: 0.5 行 段后: 0.5 行 + 首行缩进:  2 字符 段前: 0.5 行 段后: 0..."/>
    <w:basedOn w:val="1"/>
    <w:qFormat/>
    <w:uiPriority w:val="0"/>
    <w:pPr>
      <w:keepNext/>
      <w:keepLines/>
      <w:spacing w:beforeLines="50" w:afterLines="50" w:line="240" w:lineRule="auto"/>
      <w:jc w:val="left"/>
      <w:outlineLvl w:val="1"/>
    </w:pPr>
    <w:rPr>
      <w:rFonts w:eastAsia="黑体" w:cs="宋体"/>
    </w:rPr>
  </w:style>
  <w:style w:type="paragraph" w:customStyle="1" w:styleId="28">
    <w:name w:val="列出段落1"/>
    <w:basedOn w:val="1"/>
    <w:qFormat/>
    <w:uiPriority w:val="34"/>
    <w:pPr>
      <w:spacing w:line="240" w:lineRule="auto"/>
      <w:ind w:firstLine="420"/>
      <w:jc w:val="both"/>
    </w:pPr>
    <w:rPr>
      <w:rFonts w:ascii="Calibri" w:hAnsi="Calibri"/>
      <w:szCs w:val="22"/>
    </w:rPr>
  </w:style>
  <w:style w:type="character" w:customStyle="1" w:styleId="29">
    <w:name w:val="font71"/>
    <w:basedOn w:val="17"/>
    <w:qFormat/>
    <w:uiPriority w:val="0"/>
    <w:rPr>
      <w:rFonts w:hint="eastAsia" w:ascii="宋体" w:hAnsi="宋体" w:eastAsia="宋体" w:cs="宋体"/>
      <w:color w:val="000000"/>
      <w:sz w:val="20"/>
      <w:szCs w:val="20"/>
      <w:u w:val="none"/>
    </w:rPr>
  </w:style>
  <w:style w:type="character" w:customStyle="1" w:styleId="30">
    <w:name w:val="font51"/>
    <w:basedOn w:val="1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2273</Words>
  <Characters>2676</Characters>
  <Lines>0</Lines>
  <Paragraphs>0</Paragraphs>
  <TotalTime>949</TotalTime>
  <ScaleCrop>false</ScaleCrop>
  <LinksUpToDate>false</LinksUpToDate>
  <CharactersWithSpaces>2781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负重前行</cp:lastModifiedBy>
  <dcterms:modified xsi:type="dcterms:W3CDTF">2025-08-07T07:12:39Z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6261B94AD9B44AE9B636AD43B5A1C691_13</vt:lpwstr>
  </property>
  <property fmtid="{D5CDD505-2E9C-101B-9397-08002B2CF9AE}" pid="4" name="KSOTemplateDocerSaveRecord">
    <vt:lpwstr>eyJoZGlkIjoiNjhhYjZjMjYzYzYyZjdmMTE3ZTZiMzIyZjU3NjU4OTIiLCJ1c2VySWQiOiIzODA0NjA1MTMifQ==</vt:lpwstr>
  </property>
</Properties>
</file>